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09F4095">
      <w:pPr>
        <w:jc w:val="center"/>
        <w:rPr>
          <w:rFonts w:ascii="黑体" w:hAnsi="黑体" w:eastAsia="黑体"/>
          <w:b/>
          <w:sz w:val="32"/>
          <w:szCs w:val="32"/>
        </w:rPr>
      </w:pPr>
      <w:bookmarkStart w:id="5" w:name="_GoBack"/>
      <w:bookmarkEnd w:id="5"/>
      <w:r>
        <w:rPr>
          <w:rFonts w:hint="eastAsia" w:ascii="黑体" w:hAnsi="黑体" w:eastAsia="黑体"/>
          <w:b/>
          <w:sz w:val="32"/>
          <w:szCs w:val="32"/>
        </w:rPr>
        <w:t>中山大学附属第六医院医用气体配送</w:t>
      </w:r>
      <w:r>
        <w:rPr>
          <w:rFonts w:hint="eastAsia" w:ascii="黑体" w:hAnsi="黑体" w:eastAsia="黑体"/>
          <w:b/>
          <w:color w:val="000000" w:themeColor="text1"/>
          <w:sz w:val="32"/>
          <w:szCs w:val="32"/>
          <w14:textFill>
            <w14:solidFill>
              <w14:schemeClr w14:val="tx1"/>
            </w14:solidFill>
          </w14:textFill>
        </w:rPr>
        <w:t>服务</w:t>
      </w:r>
      <w:r>
        <w:rPr>
          <w:rFonts w:hint="eastAsia" w:ascii="黑体" w:hAnsi="黑体" w:eastAsia="黑体"/>
          <w:b/>
          <w:sz w:val="32"/>
          <w:szCs w:val="32"/>
        </w:rPr>
        <w:t>市场调研需求</w:t>
      </w:r>
    </w:p>
    <w:p w14:paraId="395F4A74"/>
    <w:p w14:paraId="01B644FD">
      <w:pPr>
        <w:ind w:firstLine="480" w:firstLineChars="200"/>
      </w:pPr>
      <w:r>
        <w:rPr>
          <w:rFonts w:hint="eastAsia"/>
          <w:sz w:val="24"/>
        </w:rPr>
        <w:t>本次调研为我院医用气体配送</w:t>
      </w:r>
      <w:r>
        <w:rPr>
          <w:rFonts w:hint="eastAsia" w:ascii="宋体" w:hAnsi="宋体"/>
          <w:sz w:val="24"/>
        </w:rPr>
        <w:t>服务方案</w:t>
      </w:r>
      <w:r>
        <w:rPr>
          <w:rFonts w:hint="eastAsia"/>
          <w:sz w:val="24"/>
        </w:rPr>
        <w:t>与报价，配送范围为广州市辖区我院通知送气时的指定地点。</w:t>
      </w:r>
    </w:p>
    <w:p w14:paraId="3436253C"/>
    <w:p w14:paraId="510D180A">
      <w:pPr>
        <w:pStyle w:val="7"/>
        <w:numPr>
          <w:ilvl w:val="0"/>
          <w:numId w:val="1"/>
        </w:numPr>
        <w:rPr>
          <w:rFonts w:hint="default"/>
          <w:sz w:val="24"/>
          <w:szCs w:val="24"/>
          <w:lang w:eastAsia="zh-CN"/>
        </w:rPr>
      </w:pPr>
      <w:r>
        <w:rPr>
          <w:sz w:val="24"/>
          <w:szCs w:val="24"/>
          <w:lang w:eastAsia="zh-CN"/>
        </w:rPr>
        <w:t>项目概况</w:t>
      </w:r>
    </w:p>
    <w:p w14:paraId="1C10891A">
      <w:pPr>
        <w:pStyle w:val="7"/>
        <w:ind w:left="390"/>
        <w:rPr>
          <w:rFonts w:hint="default"/>
          <w:sz w:val="24"/>
          <w:szCs w:val="24"/>
        </w:rPr>
      </w:pPr>
      <w:r>
        <w:rPr>
          <w:sz w:val="24"/>
          <w:szCs w:val="24"/>
          <w:lang w:eastAsia="zh-CN"/>
        </w:rPr>
        <w:t>中山大学附属第六医院目前有金融城院区、知识城院区、北院区、生物岛等四个用气地点，本次采购医用气体配送服务为期</w:t>
      </w:r>
      <w:r>
        <w:rPr>
          <w:sz w:val="24"/>
          <w:szCs w:val="24"/>
          <w:u w:val="single"/>
          <w:lang w:eastAsia="zh-CN"/>
        </w:rPr>
        <w:t>叁年</w:t>
      </w:r>
      <w:r>
        <w:rPr>
          <w:sz w:val="24"/>
          <w:szCs w:val="24"/>
          <w:lang w:eastAsia="zh-CN"/>
        </w:rPr>
        <w:t>，预算总价</w:t>
      </w:r>
      <w:r>
        <w:rPr>
          <w:sz w:val="24"/>
          <w:szCs w:val="24"/>
          <w:u w:val="single"/>
          <w:lang w:eastAsia="zh-CN"/>
        </w:rPr>
        <w:t>6</w:t>
      </w:r>
      <w:r>
        <w:rPr>
          <w:rFonts w:hint="default"/>
          <w:sz w:val="24"/>
          <w:szCs w:val="24"/>
          <w:u w:val="single"/>
          <w:lang w:eastAsia="zh-CN"/>
        </w:rPr>
        <w:t>00</w:t>
      </w:r>
      <w:r>
        <w:rPr>
          <w:sz w:val="24"/>
          <w:szCs w:val="24"/>
          <w:u w:val="single"/>
          <w:lang w:eastAsia="zh-CN"/>
        </w:rPr>
        <w:t>万元</w:t>
      </w:r>
      <w:r>
        <w:rPr>
          <w:sz w:val="24"/>
          <w:szCs w:val="24"/>
          <w:lang w:eastAsia="zh-CN"/>
        </w:rPr>
        <w:t>，以此两者先到者作为服务终止日。</w:t>
      </w:r>
    </w:p>
    <w:tbl>
      <w:tblPr>
        <w:tblStyle w:val="5"/>
        <w:tblW w:w="0" w:type="auto"/>
        <w:tblInd w:w="0" w:type="dxa"/>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autofit"/>
        <w:tblCellMar>
          <w:top w:w="0" w:type="dxa"/>
          <w:left w:w="108" w:type="dxa"/>
          <w:bottom w:w="0" w:type="dxa"/>
          <w:right w:w="108" w:type="dxa"/>
        </w:tblCellMar>
      </w:tblPr>
      <w:tblGrid>
        <w:gridCol w:w="790"/>
        <w:gridCol w:w="1195"/>
        <w:gridCol w:w="1843"/>
        <w:gridCol w:w="850"/>
        <w:gridCol w:w="992"/>
        <w:gridCol w:w="1985"/>
      </w:tblGrid>
      <w:tr w14:paraId="7BA9D0F8">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451" w:hRule="atLeast"/>
        </w:trPr>
        <w:tc>
          <w:tcPr>
            <w:tcW w:w="790" w:type="dxa"/>
          </w:tcPr>
          <w:p w14:paraId="0734928F">
            <w:pPr>
              <w:pStyle w:val="7"/>
              <w:jc w:val="center"/>
              <w:rPr>
                <w:rFonts w:hint="default"/>
              </w:rPr>
            </w:pPr>
            <w:r>
              <w:t>序号</w:t>
            </w:r>
          </w:p>
        </w:tc>
        <w:tc>
          <w:tcPr>
            <w:tcW w:w="1195" w:type="dxa"/>
          </w:tcPr>
          <w:p w14:paraId="0C5CF786">
            <w:pPr>
              <w:pStyle w:val="7"/>
              <w:jc w:val="center"/>
              <w:rPr>
                <w:rFonts w:hint="default"/>
              </w:rPr>
            </w:pPr>
            <w:r>
              <w:t>品目名称</w:t>
            </w:r>
          </w:p>
        </w:tc>
        <w:tc>
          <w:tcPr>
            <w:tcW w:w="1843" w:type="dxa"/>
          </w:tcPr>
          <w:p w14:paraId="4C24615F">
            <w:pPr>
              <w:pStyle w:val="7"/>
              <w:jc w:val="center"/>
              <w:rPr>
                <w:rFonts w:hint="default"/>
              </w:rPr>
            </w:pPr>
            <w:r>
              <w:t>标的名称</w:t>
            </w:r>
          </w:p>
        </w:tc>
        <w:tc>
          <w:tcPr>
            <w:tcW w:w="850" w:type="dxa"/>
          </w:tcPr>
          <w:p w14:paraId="5DBF79BB">
            <w:pPr>
              <w:pStyle w:val="7"/>
              <w:jc w:val="center"/>
              <w:rPr>
                <w:rFonts w:hint="default"/>
              </w:rPr>
            </w:pPr>
            <w:r>
              <w:t>单位</w:t>
            </w:r>
          </w:p>
        </w:tc>
        <w:tc>
          <w:tcPr>
            <w:tcW w:w="992" w:type="dxa"/>
          </w:tcPr>
          <w:p w14:paraId="642D7259">
            <w:pPr>
              <w:pStyle w:val="7"/>
              <w:jc w:val="center"/>
              <w:rPr>
                <w:rFonts w:hint="default"/>
              </w:rPr>
            </w:pPr>
            <w:r>
              <w:t>数量</w:t>
            </w:r>
          </w:p>
        </w:tc>
        <w:tc>
          <w:tcPr>
            <w:tcW w:w="1985" w:type="dxa"/>
          </w:tcPr>
          <w:p w14:paraId="287143F8">
            <w:pPr>
              <w:pStyle w:val="7"/>
              <w:jc w:val="center"/>
              <w:rPr>
                <w:rFonts w:hint="default"/>
              </w:rPr>
            </w:pPr>
            <w:r>
              <w:t>预算总价（</w:t>
            </w:r>
            <w:r>
              <w:rPr>
                <w:lang w:eastAsia="zh-CN"/>
              </w:rPr>
              <w:t>万</w:t>
            </w:r>
            <w:r>
              <w:t>元）</w:t>
            </w:r>
          </w:p>
        </w:tc>
      </w:tr>
      <w:tr w14:paraId="16BFAB45">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429" w:hRule="atLeast"/>
        </w:trPr>
        <w:tc>
          <w:tcPr>
            <w:tcW w:w="790" w:type="dxa"/>
          </w:tcPr>
          <w:p w14:paraId="2F1B7E27">
            <w:pPr>
              <w:pStyle w:val="7"/>
              <w:jc w:val="center"/>
              <w:rPr>
                <w:rFonts w:hint="default"/>
              </w:rPr>
            </w:pPr>
            <w:r>
              <w:t>1</w:t>
            </w:r>
          </w:p>
        </w:tc>
        <w:tc>
          <w:tcPr>
            <w:tcW w:w="1195" w:type="dxa"/>
          </w:tcPr>
          <w:p w14:paraId="3E9398BF">
            <w:pPr>
              <w:pStyle w:val="7"/>
              <w:rPr>
                <w:rFonts w:hint="default"/>
              </w:rPr>
            </w:pPr>
            <w:r>
              <w:t>其他服务</w:t>
            </w:r>
          </w:p>
        </w:tc>
        <w:tc>
          <w:tcPr>
            <w:tcW w:w="1843" w:type="dxa"/>
          </w:tcPr>
          <w:p w14:paraId="4D731D69">
            <w:pPr>
              <w:pStyle w:val="7"/>
              <w:rPr>
                <w:rFonts w:hint="default"/>
              </w:rPr>
            </w:pPr>
            <w:r>
              <w:t>医用气体配送服务</w:t>
            </w:r>
          </w:p>
        </w:tc>
        <w:tc>
          <w:tcPr>
            <w:tcW w:w="850" w:type="dxa"/>
          </w:tcPr>
          <w:p w14:paraId="46812F50">
            <w:pPr>
              <w:pStyle w:val="7"/>
              <w:jc w:val="center"/>
              <w:rPr>
                <w:rFonts w:hint="default"/>
              </w:rPr>
            </w:pPr>
            <w:r>
              <w:t>项</w:t>
            </w:r>
          </w:p>
        </w:tc>
        <w:tc>
          <w:tcPr>
            <w:tcW w:w="992" w:type="dxa"/>
          </w:tcPr>
          <w:p w14:paraId="5CD91CA4">
            <w:pPr>
              <w:pStyle w:val="7"/>
              <w:jc w:val="center"/>
              <w:rPr>
                <w:rFonts w:hint="default"/>
              </w:rPr>
            </w:pPr>
            <w:r>
              <w:t>1</w:t>
            </w:r>
          </w:p>
        </w:tc>
        <w:tc>
          <w:tcPr>
            <w:tcW w:w="1985" w:type="dxa"/>
          </w:tcPr>
          <w:p w14:paraId="57649F0F">
            <w:pPr>
              <w:pStyle w:val="7"/>
              <w:jc w:val="center"/>
              <w:rPr>
                <w:rFonts w:hint="default"/>
              </w:rPr>
            </w:pPr>
            <w:r>
              <w:rPr>
                <w:rFonts w:hint="default"/>
              </w:rPr>
              <w:t>600</w:t>
            </w:r>
          </w:p>
        </w:tc>
      </w:tr>
    </w:tbl>
    <w:p w14:paraId="58C72031">
      <w:pPr>
        <w:pStyle w:val="7"/>
        <w:rPr>
          <w:rFonts w:hint="default"/>
          <w:b/>
        </w:rPr>
      </w:pPr>
      <w:r>
        <w:rPr>
          <w:b/>
        </w:rPr>
        <w:t>附表一：医用气体配送服务</w:t>
      </w:r>
    </w:p>
    <w:p w14:paraId="2D8FAA8E">
      <w:pPr>
        <w:pStyle w:val="7"/>
        <w:rPr>
          <w:rFonts w:hint="default"/>
          <w:b/>
        </w:rPr>
      </w:pPr>
    </w:p>
    <w:p w14:paraId="703FD9D4">
      <w:pPr>
        <w:pStyle w:val="7"/>
        <w:numPr>
          <w:ilvl w:val="0"/>
          <w:numId w:val="1"/>
        </w:numPr>
        <w:spacing w:before="60"/>
        <w:jc w:val="both"/>
        <w:rPr>
          <w:rFonts w:hint="default"/>
          <w:b/>
          <w:sz w:val="21"/>
        </w:rPr>
      </w:pPr>
      <w:r>
        <w:rPr>
          <w:b/>
          <w:sz w:val="21"/>
          <w:lang w:eastAsia="zh-CN"/>
        </w:rPr>
        <w:t>服务要求</w:t>
      </w:r>
    </w:p>
    <w:p w14:paraId="7118DBA8">
      <w:pPr>
        <w:pStyle w:val="7"/>
        <w:spacing w:before="60"/>
        <w:ind w:left="390"/>
        <w:jc w:val="both"/>
        <w:rPr>
          <w:rFonts w:hint="default"/>
          <w:b/>
          <w:sz w:val="21"/>
        </w:rPr>
      </w:pPr>
      <w:r>
        <w:rPr>
          <w:b/>
          <w:sz w:val="21"/>
          <w:lang w:eastAsia="zh-CN"/>
        </w:rPr>
        <w:t>（一）配送气体</w:t>
      </w:r>
      <w:r>
        <w:rPr>
          <w:b/>
          <w:sz w:val="21"/>
        </w:rPr>
        <w:t>清单内容</w:t>
      </w:r>
      <w:r>
        <w:rPr>
          <w:b/>
          <w:sz w:val="21"/>
          <w:lang w:eastAsia="zh-CN"/>
        </w:rPr>
        <w:t>（投标人须填写单价）</w:t>
      </w:r>
    </w:p>
    <w:p w14:paraId="10A01DE4">
      <w:pPr>
        <w:pStyle w:val="7"/>
        <w:spacing w:before="60"/>
        <w:ind w:left="390"/>
        <w:jc w:val="both"/>
        <w:rPr>
          <w:rFonts w:hint="default"/>
        </w:rPr>
      </w:pPr>
    </w:p>
    <w:tbl>
      <w:tblPr>
        <w:tblStyle w:val="5"/>
        <w:tblW w:w="0" w:type="auto"/>
        <w:jc w:val="center"/>
        <w:tblBorders>
          <w:top w:val="none" w:color="000000" w:sz="4" w:space="0"/>
          <w:left w:val="none" w:color="000000" w:sz="4" w:space="0"/>
          <w:bottom w:val="none" w:color="000000" w:sz="4" w:space="0"/>
          <w:right w:val="none" w:color="000000" w:sz="4" w:space="0"/>
          <w:insideH w:val="none" w:color="auto" w:sz="0" w:space="0"/>
          <w:insideV w:val="none" w:color="auto" w:sz="0" w:space="0"/>
        </w:tblBorders>
        <w:tblLayout w:type="fixed"/>
        <w:tblCellMar>
          <w:top w:w="0" w:type="dxa"/>
          <w:left w:w="108" w:type="dxa"/>
          <w:bottom w:w="0" w:type="dxa"/>
          <w:right w:w="108" w:type="dxa"/>
        </w:tblCellMar>
      </w:tblPr>
      <w:tblGrid>
        <w:gridCol w:w="430"/>
        <w:gridCol w:w="2259"/>
        <w:gridCol w:w="1134"/>
        <w:gridCol w:w="1275"/>
        <w:gridCol w:w="1134"/>
        <w:gridCol w:w="993"/>
        <w:gridCol w:w="1071"/>
      </w:tblGrid>
      <w:tr w14:paraId="0CF4ABFC">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rPr>
          <w:jc w:val="center"/>
        </w:trPr>
        <w:tc>
          <w:tcPr>
            <w:tcW w:w="430" w:type="dxa"/>
            <w:tcBorders>
              <w:top w:val="single" w:color="000000" w:sz="4" w:space="0"/>
              <w:left w:val="single" w:color="000000" w:sz="4" w:space="0"/>
              <w:bottom w:val="single" w:color="000000" w:sz="4" w:space="0"/>
              <w:right w:val="single" w:color="000000" w:sz="4" w:space="0"/>
            </w:tcBorders>
            <w:tcMar>
              <w:top w:w="0" w:type="dxa"/>
              <w:left w:w="105" w:type="dxa"/>
              <w:bottom w:w="0" w:type="dxa"/>
              <w:right w:w="105" w:type="dxa"/>
            </w:tcMar>
          </w:tcPr>
          <w:p w14:paraId="556E2EEA">
            <w:pPr>
              <w:pStyle w:val="7"/>
              <w:jc w:val="center"/>
              <w:rPr>
                <w:rFonts w:hint="default"/>
              </w:rPr>
            </w:pPr>
            <w:r>
              <w:t>序号</w:t>
            </w:r>
          </w:p>
        </w:tc>
        <w:tc>
          <w:tcPr>
            <w:tcW w:w="2259" w:type="dxa"/>
            <w:tcBorders>
              <w:top w:val="single" w:color="000000" w:sz="4" w:space="0"/>
              <w:left w:val="nil"/>
              <w:bottom w:val="single" w:color="000000" w:sz="4" w:space="0"/>
              <w:right w:val="single" w:color="000000" w:sz="4" w:space="0"/>
            </w:tcBorders>
            <w:tcMar>
              <w:top w:w="0" w:type="dxa"/>
              <w:left w:w="105" w:type="dxa"/>
              <w:bottom w:w="0" w:type="dxa"/>
              <w:right w:w="105" w:type="dxa"/>
            </w:tcMar>
          </w:tcPr>
          <w:p w14:paraId="54EEEC56">
            <w:pPr>
              <w:pStyle w:val="7"/>
              <w:jc w:val="center"/>
              <w:rPr>
                <w:rFonts w:hint="default"/>
              </w:rPr>
            </w:pPr>
            <w:r>
              <w:t>货物名称</w:t>
            </w:r>
          </w:p>
        </w:tc>
        <w:tc>
          <w:tcPr>
            <w:tcW w:w="1134" w:type="dxa"/>
            <w:tcBorders>
              <w:top w:val="single" w:color="000000" w:sz="4" w:space="0"/>
              <w:left w:val="nil"/>
              <w:bottom w:val="single" w:color="000000" w:sz="4" w:space="0"/>
              <w:right w:val="single" w:color="000000" w:sz="4" w:space="0"/>
            </w:tcBorders>
            <w:tcMar>
              <w:top w:w="0" w:type="dxa"/>
              <w:left w:w="105" w:type="dxa"/>
              <w:bottom w:w="0" w:type="dxa"/>
              <w:right w:w="105" w:type="dxa"/>
            </w:tcMar>
          </w:tcPr>
          <w:p w14:paraId="71C9F199">
            <w:pPr>
              <w:pStyle w:val="7"/>
              <w:jc w:val="center"/>
              <w:rPr>
                <w:rFonts w:hint="default"/>
              </w:rPr>
            </w:pPr>
            <w:r>
              <w:t>单位</w:t>
            </w:r>
          </w:p>
        </w:tc>
        <w:tc>
          <w:tcPr>
            <w:tcW w:w="1275" w:type="dxa"/>
            <w:tcBorders>
              <w:top w:val="single" w:color="000000" w:sz="4" w:space="0"/>
              <w:left w:val="nil"/>
              <w:bottom w:val="single" w:color="000000" w:sz="4" w:space="0"/>
              <w:right w:val="single" w:color="000000" w:sz="4" w:space="0"/>
            </w:tcBorders>
            <w:tcMar>
              <w:top w:w="0" w:type="dxa"/>
              <w:left w:w="105" w:type="dxa"/>
              <w:bottom w:w="0" w:type="dxa"/>
              <w:right w:w="105" w:type="dxa"/>
            </w:tcMar>
          </w:tcPr>
          <w:p w14:paraId="64937BB9">
            <w:pPr>
              <w:pStyle w:val="7"/>
              <w:jc w:val="center"/>
              <w:rPr>
                <w:rFonts w:hint="default"/>
              </w:rPr>
            </w:pPr>
            <w:r>
              <w:t>规格</w:t>
            </w:r>
          </w:p>
        </w:tc>
        <w:tc>
          <w:tcPr>
            <w:tcW w:w="1134" w:type="dxa"/>
            <w:tcBorders>
              <w:top w:val="single" w:color="000000" w:sz="4" w:space="0"/>
              <w:left w:val="nil"/>
              <w:bottom w:val="single" w:color="000000" w:sz="4" w:space="0"/>
              <w:right w:val="nil"/>
            </w:tcBorders>
            <w:tcMar>
              <w:top w:w="0" w:type="dxa"/>
              <w:left w:w="105" w:type="dxa"/>
              <w:bottom w:w="0" w:type="dxa"/>
              <w:right w:w="105" w:type="dxa"/>
            </w:tcMar>
          </w:tcPr>
          <w:p w14:paraId="1B93CCE7">
            <w:pPr>
              <w:pStyle w:val="7"/>
              <w:jc w:val="center"/>
              <w:rPr>
                <w:rFonts w:hint="default"/>
              </w:rPr>
            </w:pPr>
            <w:r>
              <w:t>纯度（%）</w:t>
            </w:r>
          </w:p>
        </w:tc>
        <w:tc>
          <w:tcPr>
            <w:tcW w:w="993" w:type="dxa"/>
            <w:tcBorders>
              <w:top w:val="single" w:color="000000" w:sz="4" w:space="0"/>
              <w:left w:val="single" w:color="000000" w:sz="4" w:space="0"/>
              <w:bottom w:val="single" w:color="000000" w:sz="4" w:space="0"/>
              <w:right w:val="single" w:color="000000" w:sz="4" w:space="0"/>
            </w:tcBorders>
            <w:tcMar>
              <w:top w:w="0" w:type="dxa"/>
              <w:left w:w="105" w:type="dxa"/>
              <w:bottom w:w="0" w:type="dxa"/>
              <w:right w:w="105" w:type="dxa"/>
            </w:tcMar>
          </w:tcPr>
          <w:p w14:paraId="34EBA86A">
            <w:pPr>
              <w:pStyle w:val="7"/>
              <w:jc w:val="center"/>
              <w:rPr>
                <w:rFonts w:hint="default"/>
              </w:rPr>
            </w:pPr>
            <w:r>
              <w:rPr>
                <w:lang w:eastAsia="zh-CN"/>
              </w:rPr>
              <w:t>单价（元）</w:t>
            </w:r>
          </w:p>
        </w:tc>
        <w:tc>
          <w:tcPr>
            <w:tcW w:w="1071" w:type="dxa"/>
            <w:tcBorders>
              <w:top w:val="single" w:color="000000" w:sz="4" w:space="0"/>
              <w:left w:val="nil"/>
              <w:bottom w:val="single" w:color="000000" w:sz="4" w:space="0"/>
              <w:right w:val="single" w:color="000000" w:sz="4" w:space="0"/>
            </w:tcBorders>
            <w:tcMar>
              <w:top w:w="0" w:type="dxa"/>
              <w:left w:w="105" w:type="dxa"/>
              <w:bottom w:w="0" w:type="dxa"/>
              <w:right w:w="105" w:type="dxa"/>
            </w:tcMar>
          </w:tcPr>
          <w:p w14:paraId="6B274A97">
            <w:pPr>
              <w:pStyle w:val="7"/>
              <w:jc w:val="center"/>
              <w:rPr>
                <w:rFonts w:hint="default"/>
              </w:rPr>
            </w:pPr>
            <w:r>
              <w:rPr>
                <w:lang w:eastAsia="zh-CN"/>
              </w:rPr>
              <w:t>备注</w:t>
            </w:r>
          </w:p>
        </w:tc>
      </w:tr>
      <w:tr w14:paraId="0FCF320B">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rPr>
          <w:jc w:val="center"/>
        </w:trPr>
        <w:tc>
          <w:tcPr>
            <w:tcW w:w="430"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45D6EBFB">
            <w:pPr>
              <w:pStyle w:val="7"/>
              <w:jc w:val="center"/>
              <w:rPr>
                <w:rFonts w:hint="default"/>
              </w:rPr>
            </w:pPr>
            <w:r>
              <w:t>1</w:t>
            </w:r>
          </w:p>
        </w:tc>
        <w:tc>
          <w:tcPr>
            <w:tcW w:w="2259" w:type="dxa"/>
            <w:tcBorders>
              <w:top w:val="nil"/>
              <w:left w:val="nil"/>
              <w:bottom w:val="single" w:color="000000" w:sz="4" w:space="0"/>
              <w:right w:val="single" w:color="000000" w:sz="4" w:space="0"/>
            </w:tcBorders>
            <w:tcMar>
              <w:top w:w="0" w:type="dxa"/>
              <w:left w:w="105" w:type="dxa"/>
              <w:bottom w:w="0" w:type="dxa"/>
              <w:right w:w="105" w:type="dxa"/>
            </w:tcMar>
          </w:tcPr>
          <w:p w14:paraId="2FFA2757">
            <w:pPr>
              <w:pStyle w:val="7"/>
              <w:jc w:val="center"/>
              <w:rPr>
                <w:rFonts w:hint="default"/>
              </w:rPr>
            </w:pPr>
            <w:r>
              <w:t>医用</w:t>
            </w:r>
            <w:r>
              <w:rPr>
                <w:lang w:eastAsia="zh-CN"/>
              </w:rPr>
              <w:t>液氧</w:t>
            </w:r>
          </w:p>
        </w:tc>
        <w:tc>
          <w:tcPr>
            <w:tcW w:w="1134" w:type="dxa"/>
            <w:tcBorders>
              <w:top w:val="nil"/>
              <w:left w:val="nil"/>
              <w:bottom w:val="single" w:color="000000" w:sz="4" w:space="0"/>
              <w:right w:val="single" w:color="000000" w:sz="4" w:space="0"/>
            </w:tcBorders>
            <w:tcMar>
              <w:top w:w="0" w:type="dxa"/>
              <w:left w:w="105" w:type="dxa"/>
              <w:bottom w:w="0" w:type="dxa"/>
              <w:right w:w="105" w:type="dxa"/>
            </w:tcMar>
          </w:tcPr>
          <w:p w14:paraId="59E6B359">
            <w:pPr>
              <w:pStyle w:val="7"/>
              <w:jc w:val="center"/>
              <w:rPr>
                <w:rFonts w:hint="default"/>
              </w:rPr>
            </w:pPr>
            <w:r>
              <w:t>吨</w:t>
            </w:r>
          </w:p>
        </w:tc>
        <w:tc>
          <w:tcPr>
            <w:tcW w:w="1275" w:type="dxa"/>
            <w:tcBorders>
              <w:top w:val="nil"/>
              <w:left w:val="nil"/>
              <w:bottom w:val="single" w:color="000000" w:sz="4" w:space="0"/>
              <w:right w:val="single" w:color="000000" w:sz="4" w:space="0"/>
            </w:tcBorders>
            <w:tcMar>
              <w:top w:w="0" w:type="dxa"/>
              <w:left w:w="105" w:type="dxa"/>
              <w:bottom w:w="0" w:type="dxa"/>
              <w:right w:w="105" w:type="dxa"/>
            </w:tcMar>
          </w:tcPr>
          <w:p w14:paraId="2413555F">
            <w:pPr>
              <w:pStyle w:val="7"/>
              <w:jc w:val="center"/>
              <w:rPr>
                <w:rFonts w:hint="default"/>
              </w:rPr>
            </w:pPr>
            <w:r>
              <w:rPr>
                <w:lang w:eastAsia="zh-CN"/>
              </w:rPr>
              <w:t>液氧槽车</w:t>
            </w:r>
          </w:p>
        </w:tc>
        <w:tc>
          <w:tcPr>
            <w:tcW w:w="1134" w:type="dxa"/>
            <w:tcBorders>
              <w:top w:val="nil"/>
              <w:left w:val="nil"/>
              <w:bottom w:val="single" w:color="000000" w:sz="4" w:space="0"/>
              <w:right w:val="nil"/>
            </w:tcBorders>
            <w:tcMar>
              <w:top w:w="0" w:type="dxa"/>
              <w:left w:w="105" w:type="dxa"/>
              <w:bottom w:w="0" w:type="dxa"/>
              <w:right w:w="105" w:type="dxa"/>
            </w:tcMar>
          </w:tcPr>
          <w:p w14:paraId="3A8CDB80">
            <w:pPr>
              <w:pStyle w:val="7"/>
              <w:jc w:val="center"/>
              <w:rPr>
                <w:rFonts w:hint="default"/>
              </w:rPr>
            </w:pPr>
            <w:r>
              <w:t>≥99.5</w:t>
            </w:r>
          </w:p>
        </w:tc>
        <w:tc>
          <w:tcPr>
            <w:tcW w:w="993"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1E58BE22">
            <w:pPr>
              <w:pStyle w:val="7"/>
              <w:jc w:val="center"/>
              <w:rPr>
                <w:rFonts w:hint="default"/>
              </w:rPr>
            </w:pPr>
          </w:p>
        </w:tc>
        <w:tc>
          <w:tcPr>
            <w:tcW w:w="1071" w:type="dxa"/>
            <w:tcBorders>
              <w:top w:val="nil"/>
              <w:left w:val="nil"/>
              <w:bottom w:val="single" w:color="000000" w:sz="4" w:space="0"/>
              <w:right w:val="single" w:color="000000" w:sz="4" w:space="0"/>
            </w:tcBorders>
            <w:tcMar>
              <w:top w:w="0" w:type="dxa"/>
              <w:left w:w="105" w:type="dxa"/>
              <w:bottom w:w="0" w:type="dxa"/>
              <w:right w:w="105" w:type="dxa"/>
            </w:tcMar>
          </w:tcPr>
          <w:p w14:paraId="5185BA81">
            <w:pPr>
              <w:pStyle w:val="7"/>
              <w:jc w:val="center"/>
              <w:rPr>
                <w:rFonts w:hint="default"/>
              </w:rPr>
            </w:pPr>
            <w:r>
              <w:rPr>
                <w:lang w:eastAsia="zh-CN"/>
              </w:rPr>
              <w:t>槽车</w:t>
            </w:r>
          </w:p>
        </w:tc>
      </w:tr>
      <w:tr w14:paraId="02F31546">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rPr>
          <w:jc w:val="center"/>
        </w:trPr>
        <w:tc>
          <w:tcPr>
            <w:tcW w:w="430"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71D31788">
            <w:pPr>
              <w:pStyle w:val="7"/>
              <w:jc w:val="center"/>
              <w:rPr>
                <w:rFonts w:hint="default"/>
              </w:rPr>
            </w:pPr>
            <w:r>
              <w:t>2</w:t>
            </w:r>
          </w:p>
        </w:tc>
        <w:tc>
          <w:tcPr>
            <w:tcW w:w="2259" w:type="dxa"/>
            <w:tcBorders>
              <w:top w:val="nil"/>
              <w:left w:val="nil"/>
              <w:bottom w:val="single" w:color="000000" w:sz="4" w:space="0"/>
              <w:right w:val="single" w:color="000000" w:sz="4" w:space="0"/>
            </w:tcBorders>
            <w:tcMar>
              <w:top w:w="0" w:type="dxa"/>
              <w:left w:w="105" w:type="dxa"/>
              <w:bottom w:w="0" w:type="dxa"/>
              <w:right w:w="105" w:type="dxa"/>
            </w:tcMar>
          </w:tcPr>
          <w:p w14:paraId="705A8E4D">
            <w:pPr>
              <w:pStyle w:val="7"/>
              <w:jc w:val="center"/>
              <w:rPr>
                <w:rFonts w:hint="default"/>
              </w:rPr>
            </w:pPr>
            <w:r>
              <w:t>医用</w:t>
            </w:r>
            <w:r>
              <w:rPr>
                <w:lang w:eastAsia="zh-CN"/>
              </w:rPr>
              <w:t>液氧</w:t>
            </w:r>
          </w:p>
        </w:tc>
        <w:tc>
          <w:tcPr>
            <w:tcW w:w="1134" w:type="dxa"/>
            <w:tcBorders>
              <w:top w:val="nil"/>
              <w:left w:val="nil"/>
              <w:bottom w:val="single" w:color="000000" w:sz="4" w:space="0"/>
              <w:right w:val="single" w:color="000000" w:sz="4" w:space="0"/>
            </w:tcBorders>
            <w:tcMar>
              <w:top w:w="0" w:type="dxa"/>
              <w:left w:w="105" w:type="dxa"/>
              <w:bottom w:w="0" w:type="dxa"/>
              <w:right w:w="105" w:type="dxa"/>
            </w:tcMar>
          </w:tcPr>
          <w:p w14:paraId="01FAB4C2">
            <w:pPr>
              <w:pStyle w:val="7"/>
              <w:jc w:val="center"/>
              <w:rPr>
                <w:rFonts w:hint="default"/>
              </w:rPr>
            </w:pPr>
            <w:r>
              <w:rPr>
                <w:lang w:eastAsia="zh-CN"/>
              </w:rPr>
              <w:t>罐</w:t>
            </w:r>
          </w:p>
        </w:tc>
        <w:tc>
          <w:tcPr>
            <w:tcW w:w="1275" w:type="dxa"/>
            <w:tcBorders>
              <w:top w:val="nil"/>
              <w:left w:val="nil"/>
              <w:bottom w:val="single" w:color="000000" w:sz="4" w:space="0"/>
              <w:right w:val="single" w:color="000000" w:sz="4" w:space="0"/>
            </w:tcBorders>
            <w:tcMar>
              <w:top w:w="0" w:type="dxa"/>
              <w:left w:w="105" w:type="dxa"/>
              <w:bottom w:w="0" w:type="dxa"/>
              <w:right w:w="105" w:type="dxa"/>
            </w:tcMar>
          </w:tcPr>
          <w:p w14:paraId="19BB1677">
            <w:pPr>
              <w:pStyle w:val="7"/>
              <w:jc w:val="center"/>
              <w:rPr>
                <w:rFonts w:hint="default"/>
              </w:rPr>
            </w:pPr>
            <w:r>
              <w:rPr>
                <w:rFonts w:ascii="宋体" w:hAnsi="宋体" w:cs="宋体"/>
                <w:szCs w:val="21"/>
              </w:rPr>
              <w:t>175Kg/罐</w:t>
            </w:r>
          </w:p>
        </w:tc>
        <w:tc>
          <w:tcPr>
            <w:tcW w:w="1134" w:type="dxa"/>
            <w:tcBorders>
              <w:top w:val="nil"/>
              <w:left w:val="nil"/>
              <w:bottom w:val="single" w:color="000000" w:sz="4" w:space="0"/>
              <w:right w:val="nil"/>
            </w:tcBorders>
            <w:tcMar>
              <w:top w:w="0" w:type="dxa"/>
              <w:left w:w="105" w:type="dxa"/>
              <w:bottom w:w="0" w:type="dxa"/>
              <w:right w:w="105" w:type="dxa"/>
            </w:tcMar>
          </w:tcPr>
          <w:p w14:paraId="1637E109">
            <w:pPr>
              <w:pStyle w:val="7"/>
              <w:jc w:val="center"/>
              <w:rPr>
                <w:rFonts w:hint="default"/>
              </w:rPr>
            </w:pPr>
            <w:r>
              <w:t>≥99.5</w:t>
            </w:r>
          </w:p>
        </w:tc>
        <w:tc>
          <w:tcPr>
            <w:tcW w:w="993"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098709FB">
            <w:pPr>
              <w:pStyle w:val="7"/>
              <w:jc w:val="center"/>
              <w:rPr>
                <w:rFonts w:hint="default"/>
              </w:rPr>
            </w:pPr>
          </w:p>
        </w:tc>
        <w:tc>
          <w:tcPr>
            <w:tcW w:w="1071" w:type="dxa"/>
            <w:tcBorders>
              <w:top w:val="nil"/>
              <w:left w:val="nil"/>
              <w:bottom w:val="single" w:color="000000" w:sz="4" w:space="0"/>
              <w:right w:val="single" w:color="000000" w:sz="4" w:space="0"/>
            </w:tcBorders>
            <w:tcMar>
              <w:top w:w="0" w:type="dxa"/>
              <w:left w:w="105" w:type="dxa"/>
              <w:bottom w:w="0" w:type="dxa"/>
              <w:right w:w="105" w:type="dxa"/>
            </w:tcMar>
          </w:tcPr>
          <w:p w14:paraId="6F1F3F60">
            <w:pPr>
              <w:pStyle w:val="7"/>
              <w:jc w:val="center"/>
              <w:rPr>
                <w:rFonts w:hint="default"/>
              </w:rPr>
            </w:pPr>
            <w:r>
              <w:rPr>
                <w:lang w:eastAsia="zh-CN"/>
              </w:rPr>
              <w:t>杜瓦罐</w:t>
            </w:r>
          </w:p>
        </w:tc>
      </w:tr>
      <w:tr w14:paraId="5C775BD8">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rPr>
          <w:jc w:val="center"/>
        </w:trPr>
        <w:tc>
          <w:tcPr>
            <w:tcW w:w="430"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31CDC6C6">
            <w:pPr>
              <w:pStyle w:val="7"/>
              <w:jc w:val="center"/>
              <w:rPr>
                <w:rFonts w:hint="default"/>
              </w:rPr>
            </w:pPr>
            <w:r>
              <w:t>3</w:t>
            </w:r>
          </w:p>
        </w:tc>
        <w:tc>
          <w:tcPr>
            <w:tcW w:w="2259" w:type="dxa"/>
            <w:tcBorders>
              <w:top w:val="nil"/>
              <w:left w:val="nil"/>
              <w:bottom w:val="single" w:color="000000" w:sz="4" w:space="0"/>
              <w:right w:val="single" w:color="000000" w:sz="4" w:space="0"/>
            </w:tcBorders>
            <w:tcMar>
              <w:top w:w="0" w:type="dxa"/>
              <w:left w:w="105" w:type="dxa"/>
              <w:bottom w:w="0" w:type="dxa"/>
              <w:right w:w="105" w:type="dxa"/>
            </w:tcMar>
          </w:tcPr>
          <w:p w14:paraId="1B1C3F70">
            <w:pPr>
              <w:pStyle w:val="7"/>
              <w:jc w:val="center"/>
              <w:rPr>
                <w:rFonts w:hint="default"/>
              </w:rPr>
            </w:pPr>
            <w:r>
              <w:t>医用氧（气态）</w:t>
            </w:r>
          </w:p>
        </w:tc>
        <w:tc>
          <w:tcPr>
            <w:tcW w:w="1134" w:type="dxa"/>
            <w:tcBorders>
              <w:top w:val="nil"/>
              <w:left w:val="nil"/>
              <w:bottom w:val="single" w:color="000000" w:sz="4" w:space="0"/>
              <w:right w:val="single" w:color="000000" w:sz="4" w:space="0"/>
            </w:tcBorders>
            <w:tcMar>
              <w:top w:w="0" w:type="dxa"/>
              <w:left w:w="105" w:type="dxa"/>
              <w:bottom w:w="0" w:type="dxa"/>
              <w:right w:w="105" w:type="dxa"/>
            </w:tcMar>
          </w:tcPr>
          <w:p w14:paraId="545D81C2">
            <w:pPr>
              <w:pStyle w:val="7"/>
              <w:jc w:val="center"/>
              <w:rPr>
                <w:rFonts w:hint="default"/>
              </w:rPr>
            </w:pPr>
            <w:r>
              <w:t>瓶</w:t>
            </w:r>
          </w:p>
        </w:tc>
        <w:tc>
          <w:tcPr>
            <w:tcW w:w="1275" w:type="dxa"/>
            <w:tcBorders>
              <w:top w:val="nil"/>
              <w:left w:val="nil"/>
              <w:bottom w:val="single" w:color="000000" w:sz="4" w:space="0"/>
              <w:right w:val="single" w:color="000000" w:sz="4" w:space="0"/>
            </w:tcBorders>
            <w:tcMar>
              <w:top w:w="0" w:type="dxa"/>
              <w:left w:w="105" w:type="dxa"/>
              <w:bottom w:w="0" w:type="dxa"/>
              <w:right w:w="105" w:type="dxa"/>
            </w:tcMar>
          </w:tcPr>
          <w:p w14:paraId="1EF31115">
            <w:pPr>
              <w:pStyle w:val="7"/>
              <w:jc w:val="center"/>
              <w:rPr>
                <w:rFonts w:hint="default"/>
              </w:rPr>
            </w:pPr>
            <w:r>
              <w:t>4升</w:t>
            </w:r>
          </w:p>
        </w:tc>
        <w:tc>
          <w:tcPr>
            <w:tcW w:w="1134" w:type="dxa"/>
            <w:tcBorders>
              <w:top w:val="nil"/>
              <w:left w:val="nil"/>
              <w:bottom w:val="single" w:color="000000" w:sz="4" w:space="0"/>
              <w:right w:val="nil"/>
            </w:tcBorders>
            <w:tcMar>
              <w:top w:w="0" w:type="dxa"/>
              <w:left w:w="105" w:type="dxa"/>
              <w:bottom w:w="0" w:type="dxa"/>
              <w:right w:w="105" w:type="dxa"/>
            </w:tcMar>
          </w:tcPr>
          <w:p w14:paraId="1D865677">
            <w:pPr>
              <w:pStyle w:val="7"/>
              <w:jc w:val="center"/>
              <w:rPr>
                <w:rFonts w:hint="default"/>
              </w:rPr>
            </w:pPr>
            <w:r>
              <w:t>≥99.5</w:t>
            </w:r>
          </w:p>
        </w:tc>
        <w:tc>
          <w:tcPr>
            <w:tcW w:w="993"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155BD7EE">
            <w:pPr>
              <w:pStyle w:val="7"/>
              <w:jc w:val="center"/>
              <w:rPr>
                <w:rFonts w:hint="default"/>
              </w:rPr>
            </w:pPr>
          </w:p>
        </w:tc>
        <w:tc>
          <w:tcPr>
            <w:tcW w:w="1071" w:type="dxa"/>
            <w:tcBorders>
              <w:top w:val="nil"/>
              <w:left w:val="nil"/>
              <w:bottom w:val="single" w:color="000000" w:sz="4" w:space="0"/>
              <w:right w:val="single" w:color="000000" w:sz="4" w:space="0"/>
            </w:tcBorders>
            <w:tcMar>
              <w:top w:w="0" w:type="dxa"/>
              <w:left w:w="105" w:type="dxa"/>
              <w:bottom w:w="0" w:type="dxa"/>
              <w:right w:w="105" w:type="dxa"/>
            </w:tcMar>
          </w:tcPr>
          <w:p w14:paraId="3896B1E9">
            <w:pPr>
              <w:pStyle w:val="7"/>
              <w:jc w:val="center"/>
              <w:rPr>
                <w:rFonts w:hint="default"/>
              </w:rPr>
            </w:pPr>
          </w:p>
        </w:tc>
      </w:tr>
      <w:tr w14:paraId="5738E23F">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rPr>
          <w:jc w:val="center"/>
        </w:trPr>
        <w:tc>
          <w:tcPr>
            <w:tcW w:w="430"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660BB101">
            <w:pPr>
              <w:pStyle w:val="7"/>
              <w:jc w:val="center"/>
              <w:rPr>
                <w:rFonts w:hint="default"/>
              </w:rPr>
            </w:pPr>
            <w:r>
              <w:t>4</w:t>
            </w:r>
          </w:p>
        </w:tc>
        <w:tc>
          <w:tcPr>
            <w:tcW w:w="2259" w:type="dxa"/>
            <w:tcBorders>
              <w:top w:val="nil"/>
              <w:left w:val="nil"/>
              <w:bottom w:val="single" w:color="000000" w:sz="4" w:space="0"/>
              <w:right w:val="single" w:color="000000" w:sz="4" w:space="0"/>
            </w:tcBorders>
            <w:tcMar>
              <w:top w:w="0" w:type="dxa"/>
              <w:left w:w="105" w:type="dxa"/>
              <w:bottom w:w="0" w:type="dxa"/>
              <w:right w:w="105" w:type="dxa"/>
            </w:tcMar>
          </w:tcPr>
          <w:p w14:paraId="5316F3F2">
            <w:pPr>
              <w:pStyle w:val="7"/>
              <w:jc w:val="center"/>
              <w:rPr>
                <w:rFonts w:hint="default"/>
              </w:rPr>
            </w:pPr>
            <w:r>
              <w:t>医用氧（气态）</w:t>
            </w:r>
          </w:p>
        </w:tc>
        <w:tc>
          <w:tcPr>
            <w:tcW w:w="1134" w:type="dxa"/>
            <w:tcBorders>
              <w:top w:val="nil"/>
              <w:left w:val="nil"/>
              <w:bottom w:val="single" w:color="000000" w:sz="4" w:space="0"/>
              <w:right w:val="single" w:color="000000" w:sz="4" w:space="0"/>
            </w:tcBorders>
            <w:tcMar>
              <w:top w:w="0" w:type="dxa"/>
              <w:left w:w="105" w:type="dxa"/>
              <w:bottom w:w="0" w:type="dxa"/>
              <w:right w:w="105" w:type="dxa"/>
            </w:tcMar>
          </w:tcPr>
          <w:p w14:paraId="486F89E3">
            <w:pPr>
              <w:pStyle w:val="7"/>
              <w:jc w:val="center"/>
              <w:rPr>
                <w:rFonts w:hint="default"/>
              </w:rPr>
            </w:pPr>
            <w:r>
              <w:t>瓶</w:t>
            </w:r>
          </w:p>
        </w:tc>
        <w:tc>
          <w:tcPr>
            <w:tcW w:w="1275" w:type="dxa"/>
            <w:tcBorders>
              <w:top w:val="nil"/>
              <w:left w:val="nil"/>
              <w:bottom w:val="single" w:color="000000" w:sz="4" w:space="0"/>
              <w:right w:val="single" w:color="000000" w:sz="4" w:space="0"/>
            </w:tcBorders>
            <w:tcMar>
              <w:top w:w="0" w:type="dxa"/>
              <w:left w:w="105" w:type="dxa"/>
              <w:bottom w:w="0" w:type="dxa"/>
              <w:right w:w="105" w:type="dxa"/>
            </w:tcMar>
          </w:tcPr>
          <w:p w14:paraId="041C82CC">
            <w:pPr>
              <w:pStyle w:val="7"/>
              <w:jc w:val="center"/>
              <w:rPr>
                <w:rFonts w:hint="default"/>
              </w:rPr>
            </w:pPr>
            <w:r>
              <w:t>10升</w:t>
            </w:r>
          </w:p>
        </w:tc>
        <w:tc>
          <w:tcPr>
            <w:tcW w:w="1134" w:type="dxa"/>
            <w:tcBorders>
              <w:top w:val="nil"/>
              <w:left w:val="nil"/>
              <w:bottom w:val="single" w:color="000000" w:sz="4" w:space="0"/>
              <w:right w:val="nil"/>
            </w:tcBorders>
            <w:tcMar>
              <w:top w:w="0" w:type="dxa"/>
              <w:left w:w="105" w:type="dxa"/>
              <w:bottom w:w="0" w:type="dxa"/>
              <w:right w:w="105" w:type="dxa"/>
            </w:tcMar>
          </w:tcPr>
          <w:p w14:paraId="4A1D91CB">
            <w:pPr>
              <w:pStyle w:val="7"/>
              <w:jc w:val="center"/>
              <w:rPr>
                <w:rFonts w:hint="default"/>
              </w:rPr>
            </w:pPr>
            <w:r>
              <w:t>≥99.5</w:t>
            </w:r>
          </w:p>
        </w:tc>
        <w:tc>
          <w:tcPr>
            <w:tcW w:w="993"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030C300C">
            <w:pPr>
              <w:pStyle w:val="7"/>
              <w:jc w:val="center"/>
              <w:rPr>
                <w:rFonts w:hint="default"/>
              </w:rPr>
            </w:pPr>
          </w:p>
        </w:tc>
        <w:tc>
          <w:tcPr>
            <w:tcW w:w="1071" w:type="dxa"/>
            <w:tcBorders>
              <w:top w:val="nil"/>
              <w:left w:val="nil"/>
              <w:bottom w:val="single" w:color="000000" w:sz="4" w:space="0"/>
              <w:right w:val="single" w:color="000000" w:sz="4" w:space="0"/>
            </w:tcBorders>
            <w:tcMar>
              <w:top w:w="0" w:type="dxa"/>
              <w:left w:w="105" w:type="dxa"/>
              <w:bottom w:w="0" w:type="dxa"/>
              <w:right w:w="105" w:type="dxa"/>
            </w:tcMar>
          </w:tcPr>
          <w:p w14:paraId="345EE1A4">
            <w:pPr>
              <w:pStyle w:val="7"/>
              <w:jc w:val="center"/>
              <w:rPr>
                <w:rFonts w:hint="default"/>
              </w:rPr>
            </w:pPr>
          </w:p>
        </w:tc>
      </w:tr>
      <w:tr w14:paraId="4C3C3BB8">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rPr>
          <w:jc w:val="center"/>
        </w:trPr>
        <w:tc>
          <w:tcPr>
            <w:tcW w:w="430"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087CE4A3">
            <w:pPr>
              <w:pStyle w:val="7"/>
              <w:jc w:val="center"/>
              <w:rPr>
                <w:rFonts w:hint="default"/>
              </w:rPr>
            </w:pPr>
            <w:r>
              <w:t>5</w:t>
            </w:r>
          </w:p>
        </w:tc>
        <w:tc>
          <w:tcPr>
            <w:tcW w:w="2259" w:type="dxa"/>
            <w:tcBorders>
              <w:top w:val="nil"/>
              <w:left w:val="nil"/>
              <w:bottom w:val="single" w:color="000000" w:sz="4" w:space="0"/>
              <w:right w:val="single" w:color="000000" w:sz="4" w:space="0"/>
            </w:tcBorders>
            <w:tcMar>
              <w:top w:w="0" w:type="dxa"/>
              <w:left w:w="105" w:type="dxa"/>
              <w:bottom w:w="0" w:type="dxa"/>
              <w:right w:w="105" w:type="dxa"/>
            </w:tcMar>
          </w:tcPr>
          <w:p w14:paraId="20982111">
            <w:pPr>
              <w:pStyle w:val="7"/>
              <w:jc w:val="center"/>
              <w:rPr>
                <w:rFonts w:hint="default"/>
              </w:rPr>
            </w:pPr>
            <w:r>
              <w:t>医用氧（气态）</w:t>
            </w:r>
          </w:p>
        </w:tc>
        <w:tc>
          <w:tcPr>
            <w:tcW w:w="1134" w:type="dxa"/>
            <w:tcBorders>
              <w:top w:val="nil"/>
              <w:left w:val="nil"/>
              <w:bottom w:val="single" w:color="000000" w:sz="4" w:space="0"/>
              <w:right w:val="single" w:color="000000" w:sz="4" w:space="0"/>
            </w:tcBorders>
            <w:tcMar>
              <w:top w:w="0" w:type="dxa"/>
              <w:left w:w="105" w:type="dxa"/>
              <w:bottom w:w="0" w:type="dxa"/>
              <w:right w:w="105" w:type="dxa"/>
            </w:tcMar>
          </w:tcPr>
          <w:p w14:paraId="15DDD8A7">
            <w:pPr>
              <w:pStyle w:val="7"/>
              <w:jc w:val="center"/>
              <w:rPr>
                <w:rFonts w:hint="default"/>
              </w:rPr>
            </w:pPr>
            <w:r>
              <w:t>瓶</w:t>
            </w:r>
          </w:p>
        </w:tc>
        <w:tc>
          <w:tcPr>
            <w:tcW w:w="1275" w:type="dxa"/>
            <w:tcBorders>
              <w:top w:val="nil"/>
              <w:left w:val="nil"/>
              <w:bottom w:val="single" w:color="000000" w:sz="4" w:space="0"/>
              <w:right w:val="single" w:color="000000" w:sz="4" w:space="0"/>
            </w:tcBorders>
            <w:tcMar>
              <w:top w:w="0" w:type="dxa"/>
              <w:left w:w="105" w:type="dxa"/>
              <w:bottom w:w="0" w:type="dxa"/>
              <w:right w:w="105" w:type="dxa"/>
            </w:tcMar>
          </w:tcPr>
          <w:p w14:paraId="40216082">
            <w:pPr>
              <w:pStyle w:val="7"/>
              <w:jc w:val="center"/>
              <w:rPr>
                <w:rFonts w:hint="default"/>
              </w:rPr>
            </w:pPr>
            <w:r>
              <w:t>40升</w:t>
            </w:r>
          </w:p>
        </w:tc>
        <w:tc>
          <w:tcPr>
            <w:tcW w:w="1134" w:type="dxa"/>
            <w:tcBorders>
              <w:top w:val="nil"/>
              <w:left w:val="nil"/>
              <w:bottom w:val="single" w:color="000000" w:sz="4" w:space="0"/>
              <w:right w:val="nil"/>
            </w:tcBorders>
            <w:tcMar>
              <w:top w:w="0" w:type="dxa"/>
              <w:left w:w="105" w:type="dxa"/>
              <w:bottom w:w="0" w:type="dxa"/>
              <w:right w:w="105" w:type="dxa"/>
            </w:tcMar>
          </w:tcPr>
          <w:p w14:paraId="6212B25E">
            <w:pPr>
              <w:pStyle w:val="7"/>
              <w:jc w:val="center"/>
              <w:rPr>
                <w:rFonts w:hint="default"/>
              </w:rPr>
            </w:pPr>
            <w:r>
              <w:t>≥99.5</w:t>
            </w:r>
          </w:p>
        </w:tc>
        <w:tc>
          <w:tcPr>
            <w:tcW w:w="993"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00D3E731">
            <w:pPr>
              <w:pStyle w:val="7"/>
              <w:jc w:val="center"/>
              <w:rPr>
                <w:rFonts w:hint="default"/>
              </w:rPr>
            </w:pPr>
          </w:p>
        </w:tc>
        <w:tc>
          <w:tcPr>
            <w:tcW w:w="1071" w:type="dxa"/>
            <w:tcBorders>
              <w:top w:val="nil"/>
              <w:left w:val="nil"/>
              <w:bottom w:val="single" w:color="000000" w:sz="4" w:space="0"/>
              <w:right w:val="single" w:color="000000" w:sz="4" w:space="0"/>
            </w:tcBorders>
            <w:tcMar>
              <w:top w:w="0" w:type="dxa"/>
              <w:left w:w="105" w:type="dxa"/>
              <w:bottom w:w="0" w:type="dxa"/>
              <w:right w:w="105" w:type="dxa"/>
            </w:tcMar>
          </w:tcPr>
          <w:p w14:paraId="7A5B01D8">
            <w:pPr>
              <w:pStyle w:val="7"/>
              <w:jc w:val="center"/>
              <w:rPr>
                <w:rFonts w:hint="default"/>
              </w:rPr>
            </w:pPr>
          </w:p>
        </w:tc>
      </w:tr>
      <w:tr w14:paraId="04A0B6EE">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rPr>
          <w:jc w:val="center"/>
        </w:trPr>
        <w:tc>
          <w:tcPr>
            <w:tcW w:w="430"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4816CB64">
            <w:pPr>
              <w:pStyle w:val="7"/>
              <w:jc w:val="center"/>
              <w:rPr>
                <w:rFonts w:hint="default"/>
              </w:rPr>
            </w:pPr>
            <w:r>
              <w:t>6</w:t>
            </w:r>
          </w:p>
        </w:tc>
        <w:tc>
          <w:tcPr>
            <w:tcW w:w="2259" w:type="dxa"/>
            <w:tcBorders>
              <w:top w:val="nil"/>
              <w:left w:val="nil"/>
              <w:bottom w:val="single" w:color="000000" w:sz="4" w:space="0"/>
              <w:right w:val="single" w:color="000000" w:sz="4" w:space="0"/>
            </w:tcBorders>
            <w:tcMar>
              <w:top w:w="0" w:type="dxa"/>
              <w:left w:w="105" w:type="dxa"/>
              <w:bottom w:w="0" w:type="dxa"/>
              <w:right w:w="105" w:type="dxa"/>
            </w:tcMar>
          </w:tcPr>
          <w:p w14:paraId="2EA4B10E">
            <w:pPr>
              <w:pStyle w:val="7"/>
              <w:jc w:val="center"/>
              <w:rPr>
                <w:rFonts w:hint="default"/>
              </w:rPr>
            </w:pPr>
            <w:r>
              <w:t>液氮</w:t>
            </w:r>
          </w:p>
        </w:tc>
        <w:tc>
          <w:tcPr>
            <w:tcW w:w="1134" w:type="dxa"/>
            <w:tcBorders>
              <w:top w:val="nil"/>
              <w:left w:val="nil"/>
              <w:bottom w:val="single" w:color="000000" w:sz="4" w:space="0"/>
              <w:right w:val="single" w:color="000000" w:sz="4" w:space="0"/>
            </w:tcBorders>
            <w:tcMar>
              <w:top w:w="0" w:type="dxa"/>
              <w:left w:w="105" w:type="dxa"/>
              <w:bottom w:w="0" w:type="dxa"/>
              <w:right w:w="105" w:type="dxa"/>
            </w:tcMar>
          </w:tcPr>
          <w:p w14:paraId="18F060ED">
            <w:pPr>
              <w:pStyle w:val="7"/>
              <w:jc w:val="center"/>
              <w:rPr>
                <w:rFonts w:hint="default"/>
              </w:rPr>
            </w:pPr>
            <w:r>
              <w:t>罐</w:t>
            </w:r>
          </w:p>
        </w:tc>
        <w:tc>
          <w:tcPr>
            <w:tcW w:w="1275" w:type="dxa"/>
            <w:tcBorders>
              <w:top w:val="nil"/>
              <w:left w:val="nil"/>
              <w:bottom w:val="single" w:color="000000" w:sz="4" w:space="0"/>
              <w:right w:val="single" w:color="000000" w:sz="4" w:space="0"/>
            </w:tcBorders>
            <w:tcMar>
              <w:top w:w="0" w:type="dxa"/>
              <w:left w:w="105" w:type="dxa"/>
              <w:bottom w:w="0" w:type="dxa"/>
              <w:right w:w="105" w:type="dxa"/>
            </w:tcMar>
          </w:tcPr>
          <w:p w14:paraId="1979EBAD">
            <w:pPr>
              <w:pStyle w:val="7"/>
              <w:jc w:val="center"/>
              <w:rPr>
                <w:rFonts w:hint="default"/>
              </w:rPr>
            </w:pPr>
            <w:r>
              <w:t>10升</w:t>
            </w:r>
            <w:r>
              <w:rPr>
                <w:rFonts w:ascii="宋体" w:hAnsi="宋体" w:cs="宋体"/>
                <w:szCs w:val="21"/>
              </w:rPr>
              <w:t>/罐</w:t>
            </w:r>
          </w:p>
        </w:tc>
        <w:tc>
          <w:tcPr>
            <w:tcW w:w="1134" w:type="dxa"/>
            <w:tcBorders>
              <w:top w:val="nil"/>
              <w:left w:val="nil"/>
              <w:bottom w:val="single" w:color="000000" w:sz="4" w:space="0"/>
              <w:right w:val="nil"/>
            </w:tcBorders>
            <w:tcMar>
              <w:top w:w="0" w:type="dxa"/>
              <w:left w:w="105" w:type="dxa"/>
              <w:bottom w:w="0" w:type="dxa"/>
              <w:right w:w="105" w:type="dxa"/>
            </w:tcMar>
          </w:tcPr>
          <w:p w14:paraId="659A6B10">
            <w:pPr>
              <w:pStyle w:val="7"/>
              <w:jc w:val="center"/>
              <w:rPr>
                <w:rFonts w:hint="default"/>
              </w:rPr>
            </w:pPr>
            <w:r>
              <w:t>≥99.9</w:t>
            </w:r>
            <w:r>
              <w:rPr>
                <w:rFonts w:hint="default"/>
              </w:rPr>
              <w:t>8</w:t>
            </w:r>
          </w:p>
        </w:tc>
        <w:tc>
          <w:tcPr>
            <w:tcW w:w="993"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5D23AD63">
            <w:pPr>
              <w:pStyle w:val="7"/>
              <w:jc w:val="center"/>
              <w:rPr>
                <w:rFonts w:hint="default"/>
              </w:rPr>
            </w:pPr>
          </w:p>
        </w:tc>
        <w:tc>
          <w:tcPr>
            <w:tcW w:w="1071" w:type="dxa"/>
            <w:tcBorders>
              <w:top w:val="nil"/>
              <w:left w:val="nil"/>
              <w:bottom w:val="single" w:color="000000" w:sz="4" w:space="0"/>
              <w:right w:val="single" w:color="000000" w:sz="4" w:space="0"/>
            </w:tcBorders>
            <w:tcMar>
              <w:top w:w="0" w:type="dxa"/>
              <w:left w:w="105" w:type="dxa"/>
              <w:bottom w:w="0" w:type="dxa"/>
              <w:right w:w="105" w:type="dxa"/>
            </w:tcMar>
          </w:tcPr>
          <w:p w14:paraId="1E83139B">
            <w:pPr>
              <w:pStyle w:val="7"/>
              <w:jc w:val="center"/>
              <w:rPr>
                <w:rFonts w:hint="default"/>
              </w:rPr>
            </w:pPr>
          </w:p>
        </w:tc>
      </w:tr>
      <w:tr w14:paraId="30A5D0CA">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rPr>
          <w:jc w:val="center"/>
        </w:trPr>
        <w:tc>
          <w:tcPr>
            <w:tcW w:w="430"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51FD8D6D">
            <w:pPr>
              <w:pStyle w:val="7"/>
              <w:jc w:val="center"/>
              <w:rPr>
                <w:rFonts w:hint="default"/>
              </w:rPr>
            </w:pPr>
            <w:r>
              <w:t>7</w:t>
            </w:r>
          </w:p>
        </w:tc>
        <w:tc>
          <w:tcPr>
            <w:tcW w:w="2259" w:type="dxa"/>
            <w:tcBorders>
              <w:top w:val="nil"/>
              <w:left w:val="nil"/>
              <w:bottom w:val="single" w:color="000000" w:sz="4" w:space="0"/>
              <w:right w:val="single" w:color="000000" w:sz="4" w:space="0"/>
            </w:tcBorders>
            <w:tcMar>
              <w:top w:w="0" w:type="dxa"/>
              <w:left w:w="105" w:type="dxa"/>
              <w:bottom w:w="0" w:type="dxa"/>
              <w:right w:w="105" w:type="dxa"/>
            </w:tcMar>
          </w:tcPr>
          <w:p w14:paraId="379076F7">
            <w:pPr>
              <w:pStyle w:val="7"/>
              <w:jc w:val="center"/>
              <w:rPr>
                <w:rFonts w:hint="default"/>
              </w:rPr>
            </w:pPr>
            <w:r>
              <w:rPr>
                <w:lang w:eastAsia="zh-CN"/>
              </w:rPr>
              <w:t>高纯</w:t>
            </w:r>
            <w:r>
              <w:t>二氧化碳</w:t>
            </w:r>
          </w:p>
        </w:tc>
        <w:tc>
          <w:tcPr>
            <w:tcW w:w="1134" w:type="dxa"/>
            <w:tcBorders>
              <w:top w:val="nil"/>
              <w:left w:val="nil"/>
              <w:bottom w:val="single" w:color="000000" w:sz="4" w:space="0"/>
              <w:right w:val="single" w:color="000000" w:sz="4" w:space="0"/>
            </w:tcBorders>
            <w:tcMar>
              <w:top w:w="0" w:type="dxa"/>
              <w:left w:w="105" w:type="dxa"/>
              <w:bottom w:w="0" w:type="dxa"/>
              <w:right w:w="105" w:type="dxa"/>
            </w:tcMar>
          </w:tcPr>
          <w:p w14:paraId="5B33F5EA">
            <w:pPr>
              <w:pStyle w:val="7"/>
              <w:jc w:val="center"/>
              <w:rPr>
                <w:rFonts w:hint="default"/>
              </w:rPr>
            </w:pPr>
            <w:r>
              <w:t>瓶</w:t>
            </w:r>
          </w:p>
        </w:tc>
        <w:tc>
          <w:tcPr>
            <w:tcW w:w="1275" w:type="dxa"/>
            <w:tcBorders>
              <w:top w:val="nil"/>
              <w:left w:val="nil"/>
              <w:bottom w:val="single" w:color="000000" w:sz="4" w:space="0"/>
              <w:right w:val="single" w:color="000000" w:sz="4" w:space="0"/>
            </w:tcBorders>
            <w:tcMar>
              <w:top w:w="0" w:type="dxa"/>
              <w:left w:w="105" w:type="dxa"/>
              <w:bottom w:w="0" w:type="dxa"/>
              <w:right w:w="105" w:type="dxa"/>
            </w:tcMar>
          </w:tcPr>
          <w:p w14:paraId="586E7B93">
            <w:pPr>
              <w:pStyle w:val="7"/>
              <w:jc w:val="center"/>
              <w:rPr>
                <w:rFonts w:hint="default"/>
              </w:rPr>
            </w:pPr>
            <w:r>
              <w:t>40升</w:t>
            </w:r>
          </w:p>
        </w:tc>
        <w:tc>
          <w:tcPr>
            <w:tcW w:w="1134" w:type="dxa"/>
            <w:tcBorders>
              <w:top w:val="nil"/>
              <w:left w:val="nil"/>
              <w:bottom w:val="single" w:color="000000" w:sz="4" w:space="0"/>
              <w:right w:val="nil"/>
            </w:tcBorders>
            <w:tcMar>
              <w:top w:w="0" w:type="dxa"/>
              <w:left w:w="105" w:type="dxa"/>
              <w:bottom w:w="0" w:type="dxa"/>
              <w:right w:w="105" w:type="dxa"/>
            </w:tcMar>
          </w:tcPr>
          <w:p w14:paraId="753CC7C8">
            <w:pPr>
              <w:pStyle w:val="7"/>
              <w:jc w:val="center"/>
              <w:rPr>
                <w:rFonts w:hint="default"/>
              </w:rPr>
            </w:pPr>
            <w:r>
              <w:t>≥99.99</w:t>
            </w:r>
          </w:p>
        </w:tc>
        <w:tc>
          <w:tcPr>
            <w:tcW w:w="993"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3FB24A05">
            <w:pPr>
              <w:pStyle w:val="7"/>
              <w:jc w:val="center"/>
              <w:rPr>
                <w:rFonts w:hint="default"/>
              </w:rPr>
            </w:pPr>
          </w:p>
        </w:tc>
        <w:tc>
          <w:tcPr>
            <w:tcW w:w="1071" w:type="dxa"/>
            <w:tcBorders>
              <w:top w:val="nil"/>
              <w:left w:val="nil"/>
              <w:bottom w:val="single" w:color="000000" w:sz="4" w:space="0"/>
              <w:right w:val="single" w:color="000000" w:sz="4" w:space="0"/>
            </w:tcBorders>
            <w:tcMar>
              <w:top w:w="0" w:type="dxa"/>
              <w:left w:w="105" w:type="dxa"/>
              <w:bottom w:w="0" w:type="dxa"/>
              <w:right w:w="105" w:type="dxa"/>
            </w:tcMar>
          </w:tcPr>
          <w:p w14:paraId="09AD4AB0">
            <w:pPr>
              <w:pStyle w:val="7"/>
              <w:jc w:val="center"/>
              <w:rPr>
                <w:rFonts w:hint="default"/>
              </w:rPr>
            </w:pPr>
          </w:p>
        </w:tc>
      </w:tr>
      <w:tr w14:paraId="22CE0040">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rPr>
          <w:jc w:val="center"/>
        </w:trPr>
        <w:tc>
          <w:tcPr>
            <w:tcW w:w="430"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19DB3DE2">
            <w:pPr>
              <w:pStyle w:val="7"/>
              <w:jc w:val="center"/>
              <w:rPr>
                <w:rFonts w:hint="default"/>
              </w:rPr>
            </w:pPr>
            <w:r>
              <w:t>8</w:t>
            </w:r>
          </w:p>
        </w:tc>
        <w:tc>
          <w:tcPr>
            <w:tcW w:w="2259" w:type="dxa"/>
            <w:tcBorders>
              <w:top w:val="nil"/>
              <w:left w:val="nil"/>
              <w:bottom w:val="single" w:color="000000" w:sz="4" w:space="0"/>
              <w:right w:val="single" w:color="000000" w:sz="4" w:space="0"/>
            </w:tcBorders>
            <w:tcMar>
              <w:top w:w="0" w:type="dxa"/>
              <w:left w:w="105" w:type="dxa"/>
              <w:bottom w:w="0" w:type="dxa"/>
              <w:right w:w="105" w:type="dxa"/>
            </w:tcMar>
          </w:tcPr>
          <w:p w14:paraId="2BBD413F">
            <w:pPr>
              <w:pStyle w:val="7"/>
              <w:jc w:val="center"/>
              <w:rPr>
                <w:rFonts w:hint="default"/>
              </w:rPr>
            </w:pPr>
            <w:r>
              <w:t>高纯氮</w:t>
            </w:r>
            <w:r>
              <w:rPr>
                <w:lang w:eastAsia="zh-CN"/>
              </w:rPr>
              <w:t>气</w:t>
            </w:r>
          </w:p>
        </w:tc>
        <w:tc>
          <w:tcPr>
            <w:tcW w:w="1134" w:type="dxa"/>
            <w:tcBorders>
              <w:top w:val="nil"/>
              <w:left w:val="nil"/>
              <w:bottom w:val="single" w:color="000000" w:sz="4" w:space="0"/>
              <w:right w:val="single" w:color="000000" w:sz="4" w:space="0"/>
            </w:tcBorders>
            <w:tcMar>
              <w:top w:w="0" w:type="dxa"/>
              <w:left w:w="105" w:type="dxa"/>
              <w:bottom w:w="0" w:type="dxa"/>
              <w:right w:w="105" w:type="dxa"/>
            </w:tcMar>
          </w:tcPr>
          <w:p w14:paraId="71D56BD3">
            <w:pPr>
              <w:pStyle w:val="7"/>
              <w:jc w:val="center"/>
              <w:rPr>
                <w:rFonts w:hint="default"/>
              </w:rPr>
            </w:pPr>
            <w:r>
              <w:t>瓶</w:t>
            </w:r>
          </w:p>
        </w:tc>
        <w:tc>
          <w:tcPr>
            <w:tcW w:w="1275" w:type="dxa"/>
            <w:tcBorders>
              <w:top w:val="nil"/>
              <w:left w:val="nil"/>
              <w:bottom w:val="single" w:color="000000" w:sz="4" w:space="0"/>
              <w:right w:val="single" w:color="000000" w:sz="4" w:space="0"/>
            </w:tcBorders>
            <w:tcMar>
              <w:top w:w="0" w:type="dxa"/>
              <w:left w:w="105" w:type="dxa"/>
              <w:bottom w:w="0" w:type="dxa"/>
              <w:right w:w="105" w:type="dxa"/>
            </w:tcMar>
          </w:tcPr>
          <w:p w14:paraId="40CEEB89">
            <w:pPr>
              <w:pStyle w:val="7"/>
              <w:jc w:val="center"/>
              <w:rPr>
                <w:rFonts w:hint="default"/>
              </w:rPr>
            </w:pPr>
            <w:r>
              <w:t>40升</w:t>
            </w:r>
          </w:p>
        </w:tc>
        <w:tc>
          <w:tcPr>
            <w:tcW w:w="1134" w:type="dxa"/>
            <w:tcBorders>
              <w:top w:val="nil"/>
              <w:left w:val="nil"/>
              <w:bottom w:val="single" w:color="000000" w:sz="4" w:space="0"/>
              <w:right w:val="nil"/>
            </w:tcBorders>
            <w:tcMar>
              <w:top w:w="0" w:type="dxa"/>
              <w:left w:w="105" w:type="dxa"/>
              <w:bottom w:w="0" w:type="dxa"/>
              <w:right w:w="105" w:type="dxa"/>
            </w:tcMar>
          </w:tcPr>
          <w:p w14:paraId="1C9F0176">
            <w:pPr>
              <w:pStyle w:val="7"/>
              <w:jc w:val="center"/>
              <w:rPr>
                <w:rFonts w:hint="default"/>
              </w:rPr>
            </w:pPr>
            <w:r>
              <w:t>≥99.99</w:t>
            </w:r>
          </w:p>
        </w:tc>
        <w:tc>
          <w:tcPr>
            <w:tcW w:w="993"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575CE7A1">
            <w:pPr>
              <w:pStyle w:val="7"/>
              <w:jc w:val="center"/>
              <w:rPr>
                <w:rFonts w:hint="default"/>
              </w:rPr>
            </w:pPr>
          </w:p>
        </w:tc>
        <w:tc>
          <w:tcPr>
            <w:tcW w:w="1071" w:type="dxa"/>
            <w:tcBorders>
              <w:top w:val="nil"/>
              <w:left w:val="nil"/>
              <w:bottom w:val="single" w:color="000000" w:sz="4" w:space="0"/>
              <w:right w:val="single" w:color="000000" w:sz="4" w:space="0"/>
            </w:tcBorders>
            <w:tcMar>
              <w:top w:w="0" w:type="dxa"/>
              <w:left w:w="105" w:type="dxa"/>
              <w:bottom w:w="0" w:type="dxa"/>
              <w:right w:w="105" w:type="dxa"/>
            </w:tcMar>
          </w:tcPr>
          <w:p w14:paraId="1A38FA87">
            <w:pPr>
              <w:pStyle w:val="7"/>
              <w:jc w:val="center"/>
              <w:rPr>
                <w:rFonts w:hint="default"/>
              </w:rPr>
            </w:pPr>
          </w:p>
        </w:tc>
      </w:tr>
      <w:tr w14:paraId="5A131A07">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rPr>
          <w:jc w:val="center"/>
        </w:trPr>
        <w:tc>
          <w:tcPr>
            <w:tcW w:w="430"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43F45790">
            <w:pPr>
              <w:pStyle w:val="7"/>
              <w:jc w:val="center"/>
              <w:rPr>
                <w:rFonts w:hint="default"/>
              </w:rPr>
            </w:pPr>
            <w:r>
              <w:t>9</w:t>
            </w:r>
          </w:p>
        </w:tc>
        <w:tc>
          <w:tcPr>
            <w:tcW w:w="2259" w:type="dxa"/>
            <w:tcBorders>
              <w:top w:val="nil"/>
              <w:left w:val="nil"/>
              <w:bottom w:val="single" w:color="000000" w:sz="4" w:space="0"/>
              <w:right w:val="single" w:color="000000" w:sz="4" w:space="0"/>
            </w:tcBorders>
            <w:tcMar>
              <w:top w:w="0" w:type="dxa"/>
              <w:left w:w="105" w:type="dxa"/>
              <w:bottom w:w="0" w:type="dxa"/>
              <w:right w:w="105" w:type="dxa"/>
            </w:tcMar>
          </w:tcPr>
          <w:p w14:paraId="022C5CBF">
            <w:pPr>
              <w:pStyle w:val="7"/>
              <w:jc w:val="center"/>
              <w:rPr>
                <w:rFonts w:hint="default"/>
              </w:rPr>
            </w:pPr>
            <w:r>
              <w:t>高纯氩</w:t>
            </w:r>
            <w:r>
              <w:rPr>
                <w:lang w:eastAsia="zh-CN"/>
              </w:rPr>
              <w:t>气</w:t>
            </w:r>
          </w:p>
        </w:tc>
        <w:tc>
          <w:tcPr>
            <w:tcW w:w="1134" w:type="dxa"/>
            <w:tcBorders>
              <w:top w:val="nil"/>
              <w:left w:val="nil"/>
              <w:bottom w:val="single" w:color="000000" w:sz="4" w:space="0"/>
              <w:right w:val="single" w:color="000000" w:sz="4" w:space="0"/>
            </w:tcBorders>
            <w:tcMar>
              <w:top w:w="0" w:type="dxa"/>
              <w:left w:w="105" w:type="dxa"/>
              <w:bottom w:w="0" w:type="dxa"/>
              <w:right w:w="105" w:type="dxa"/>
            </w:tcMar>
          </w:tcPr>
          <w:p w14:paraId="1AB8E129">
            <w:pPr>
              <w:pStyle w:val="7"/>
              <w:jc w:val="center"/>
              <w:rPr>
                <w:rFonts w:hint="default"/>
              </w:rPr>
            </w:pPr>
            <w:r>
              <w:t>瓶</w:t>
            </w:r>
          </w:p>
        </w:tc>
        <w:tc>
          <w:tcPr>
            <w:tcW w:w="1275" w:type="dxa"/>
            <w:tcBorders>
              <w:top w:val="nil"/>
              <w:left w:val="nil"/>
              <w:bottom w:val="single" w:color="000000" w:sz="4" w:space="0"/>
              <w:right w:val="single" w:color="000000" w:sz="4" w:space="0"/>
            </w:tcBorders>
            <w:tcMar>
              <w:top w:w="0" w:type="dxa"/>
              <w:left w:w="105" w:type="dxa"/>
              <w:bottom w:w="0" w:type="dxa"/>
              <w:right w:w="105" w:type="dxa"/>
            </w:tcMar>
          </w:tcPr>
          <w:p w14:paraId="15D643E1">
            <w:pPr>
              <w:pStyle w:val="7"/>
              <w:jc w:val="center"/>
              <w:rPr>
                <w:rFonts w:hint="default"/>
              </w:rPr>
            </w:pPr>
            <w:r>
              <w:t>40升</w:t>
            </w:r>
          </w:p>
        </w:tc>
        <w:tc>
          <w:tcPr>
            <w:tcW w:w="1134" w:type="dxa"/>
            <w:tcBorders>
              <w:top w:val="nil"/>
              <w:left w:val="nil"/>
              <w:bottom w:val="single" w:color="000000" w:sz="4" w:space="0"/>
              <w:right w:val="nil"/>
            </w:tcBorders>
            <w:tcMar>
              <w:top w:w="0" w:type="dxa"/>
              <w:left w:w="105" w:type="dxa"/>
              <w:bottom w:w="0" w:type="dxa"/>
              <w:right w:w="105" w:type="dxa"/>
            </w:tcMar>
          </w:tcPr>
          <w:p w14:paraId="25B091D0">
            <w:pPr>
              <w:pStyle w:val="7"/>
              <w:jc w:val="center"/>
              <w:rPr>
                <w:rFonts w:hint="default"/>
              </w:rPr>
            </w:pPr>
            <w:r>
              <w:t>≥99.99</w:t>
            </w:r>
          </w:p>
        </w:tc>
        <w:tc>
          <w:tcPr>
            <w:tcW w:w="993"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7CE7FB97">
            <w:pPr>
              <w:pStyle w:val="7"/>
              <w:jc w:val="center"/>
              <w:rPr>
                <w:rFonts w:hint="default"/>
              </w:rPr>
            </w:pPr>
          </w:p>
        </w:tc>
        <w:tc>
          <w:tcPr>
            <w:tcW w:w="1071" w:type="dxa"/>
            <w:tcBorders>
              <w:top w:val="nil"/>
              <w:left w:val="nil"/>
              <w:bottom w:val="single" w:color="000000" w:sz="4" w:space="0"/>
              <w:right w:val="single" w:color="000000" w:sz="4" w:space="0"/>
            </w:tcBorders>
            <w:tcMar>
              <w:top w:w="0" w:type="dxa"/>
              <w:left w:w="105" w:type="dxa"/>
              <w:bottom w:w="0" w:type="dxa"/>
              <w:right w:w="105" w:type="dxa"/>
            </w:tcMar>
          </w:tcPr>
          <w:p w14:paraId="1A8B1F42">
            <w:pPr>
              <w:pStyle w:val="7"/>
              <w:jc w:val="center"/>
              <w:rPr>
                <w:rFonts w:hint="default"/>
              </w:rPr>
            </w:pPr>
          </w:p>
        </w:tc>
      </w:tr>
      <w:tr w14:paraId="719BEF4F">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rPr>
          <w:jc w:val="center"/>
        </w:trPr>
        <w:tc>
          <w:tcPr>
            <w:tcW w:w="430"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2F106B2E">
            <w:pPr>
              <w:pStyle w:val="7"/>
              <w:jc w:val="center"/>
              <w:rPr>
                <w:rFonts w:hint="default"/>
              </w:rPr>
            </w:pPr>
            <w:r>
              <w:t>11</w:t>
            </w:r>
          </w:p>
        </w:tc>
        <w:tc>
          <w:tcPr>
            <w:tcW w:w="2259" w:type="dxa"/>
            <w:tcBorders>
              <w:top w:val="nil"/>
              <w:left w:val="nil"/>
              <w:bottom w:val="single" w:color="000000" w:sz="4" w:space="0"/>
              <w:right w:val="single" w:color="000000" w:sz="4" w:space="0"/>
            </w:tcBorders>
            <w:tcMar>
              <w:top w:w="0" w:type="dxa"/>
              <w:left w:w="105" w:type="dxa"/>
              <w:bottom w:w="0" w:type="dxa"/>
              <w:right w:w="105" w:type="dxa"/>
            </w:tcMar>
          </w:tcPr>
          <w:p w14:paraId="533005CA">
            <w:pPr>
              <w:jc w:val="center"/>
            </w:pPr>
            <w:r>
              <w:rPr>
                <w:rFonts w:hint="eastAsia" w:ascii="宋体" w:hAnsi="宋体" w:cs="宋体"/>
                <w:kern w:val="0"/>
                <w:szCs w:val="21"/>
              </w:rPr>
              <w:t>环氧乙烷</w:t>
            </w:r>
          </w:p>
        </w:tc>
        <w:tc>
          <w:tcPr>
            <w:tcW w:w="1134" w:type="dxa"/>
            <w:tcBorders>
              <w:top w:val="nil"/>
              <w:left w:val="nil"/>
              <w:bottom w:val="single" w:color="000000" w:sz="4" w:space="0"/>
              <w:right w:val="single" w:color="000000" w:sz="4" w:space="0"/>
            </w:tcBorders>
            <w:tcMar>
              <w:top w:w="0" w:type="dxa"/>
              <w:left w:w="105" w:type="dxa"/>
              <w:bottom w:w="0" w:type="dxa"/>
              <w:right w:w="105" w:type="dxa"/>
            </w:tcMar>
          </w:tcPr>
          <w:p w14:paraId="00E7028B">
            <w:pPr>
              <w:pStyle w:val="7"/>
              <w:jc w:val="center"/>
              <w:rPr>
                <w:rFonts w:hint="default"/>
              </w:rPr>
            </w:pPr>
            <w:r>
              <w:rPr>
                <w:rFonts w:hint="default"/>
                <w:lang w:eastAsia="zh-CN"/>
              </w:rPr>
              <w:t>K</w:t>
            </w:r>
            <w:r>
              <w:rPr>
                <w:lang w:eastAsia="zh-CN"/>
              </w:rPr>
              <w:t>g</w:t>
            </w:r>
          </w:p>
        </w:tc>
        <w:tc>
          <w:tcPr>
            <w:tcW w:w="1275" w:type="dxa"/>
            <w:tcBorders>
              <w:top w:val="nil"/>
              <w:left w:val="nil"/>
              <w:bottom w:val="single" w:color="000000" w:sz="4" w:space="0"/>
              <w:right w:val="single" w:color="000000" w:sz="4" w:space="0"/>
            </w:tcBorders>
            <w:tcMar>
              <w:top w:w="0" w:type="dxa"/>
              <w:left w:w="105" w:type="dxa"/>
              <w:bottom w:w="0" w:type="dxa"/>
              <w:right w:w="105" w:type="dxa"/>
            </w:tcMar>
          </w:tcPr>
          <w:p w14:paraId="7AF7339C">
            <w:pPr>
              <w:pStyle w:val="7"/>
              <w:jc w:val="center"/>
              <w:rPr>
                <w:rFonts w:hint="default"/>
              </w:rPr>
            </w:pPr>
            <w:r>
              <w:rPr>
                <w:lang w:eastAsia="zh-CN"/>
              </w:rPr>
              <w:t>钢瓶</w:t>
            </w:r>
          </w:p>
        </w:tc>
        <w:tc>
          <w:tcPr>
            <w:tcW w:w="1134" w:type="dxa"/>
            <w:tcBorders>
              <w:top w:val="nil"/>
              <w:left w:val="nil"/>
              <w:bottom w:val="single" w:color="000000" w:sz="4" w:space="0"/>
              <w:right w:val="nil"/>
            </w:tcBorders>
            <w:tcMar>
              <w:top w:w="0" w:type="dxa"/>
              <w:left w:w="105" w:type="dxa"/>
              <w:bottom w:w="0" w:type="dxa"/>
              <w:right w:w="105" w:type="dxa"/>
            </w:tcMar>
          </w:tcPr>
          <w:p w14:paraId="6AAC5650">
            <w:pPr>
              <w:pStyle w:val="7"/>
              <w:jc w:val="center"/>
              <w:rPr>
                <w:rFonts w:hint="default"/>
              </w:rPr>
            </w:pPr>
            <w:r>
              <w:t>≥99.9</w:t>
            </w:r>
          </w:p>
        </w:tc>
        <w:tc>
          <w:tcPr>
            <w:tcW w:w="993"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4296524B">
            <w:pPr>
              <w:pStyle w:val="7"/>
              <w:jc w:val="center"/>
              <w:rPr>
                <w:rFonts w:hint="default"/>
              </w:rPr>
            </w:pPr>
          </w:p>
        </w:tc>
        <w:tc>
          <w:tcPr>
            <w:tcW w:w="1071" w:type="dxa"/>
            <w:tcBorders>
              <w:top w:val="nil"/>
              <w:left w:val="nil"/>
              <w:bottom w:val="single" w:color="000000" w:sz="4" w:space="0"/>
              <w:right w:val="single" w:color="000000" w:sz="4" w:space="0"/>
            </w:tcBorders>
            <w:tcMar>
              <w:top w:w="0" w:type="dxa"/>
              <w:left w:w="105" w:type="dxa"/>
              <w:bottom w:w="0" w:type="dxa"/>
              <w:right w:w="105" w:type="dxa"/>
            </w:tcMar>
          </w:tcPr>
          <w:p w14:paraId="59BDDF3C">
            <w:pPr>
              <w:pStyle w:val="7"/>
              <w:jc w:val="center"/>
              <w:rPr>
                <w:rFonts w:hint="default"/>
              </w:rPr>
            </w:pPr>
          </w:p>
        </w:tc>
      </w:tr>
      <w:tr w14:paraId="3575EF16">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rPr>
          <w:jc w:val="center"/>
        </w:trPr>
        <w:tc>
          <w:tcPr>
            <w:tcW w:w="430"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630D8C7B">
            <w:pPr>
              <w:pStyle w:val="7"/>
              <w:jc w:val="center"/>
              <w:rPr>
                <w:rFonts w:hint="default"/>
              </w:rPr>
            </w:pPr>
            <w:r>
              <w:t>12</w:t>
            </w:r>
          </w:p>
        </w:tc>
        <w:tc>
          <w:tcPr>
            <w:tcW w:w="2259" w:type="dxa"/>
            <w:tcBorders>
              <w:top w:val="nil"/>
              <w:left w:val="nil"/>
              <w:bottom w:val="single" w:color="000000" w:sz="4" w:space="0"/>
              <w:right w:val="single" w:color="000000" w:sz="4" w:space="0"/>
            </w:tcBorders>
            <w:tcMar>
              <w:top w:w="0" w:type="dxa"/>
              <w:left w:w="105" w:type="dxa"/>
              <w:bottom w:w="0" w:type="dxa"/>
              <w:right w:w="105" w:type="dxa"/>
            </w:tcMar>
          </w:tcPr>
          <w:p w14:paraId="64D5FA0D">
            <w:pPr>
              <w:pStyle w:val="7"/>
              <w:jc w:val="center"/>
              <w:rPr>
                <w:rFonts w:hint="default"/>
              </w:rPr>
            </w:pPr>
            <w:r>
              <w:t>高纯乙炔</w:t>
            </w:r>
          </w:p>
        </w:tc>
        <w:tc>
          <w:tcPr>
            <w:tcW w:w="1134" w:type="dxa"/>
            <w:tcBorders>
              <w:top w:val="nil"/>
              <w:left w:val="nil"/>
              <w:bottom w:val="single" w:color="000000" w:sz="4" w:space="0"/>
              <w:right w:val="single" w:color="000000" w:sz="4" w:space="0"/>
            </w:tcBorders>
            <w:tcMar>
              <w:top w:w="0" w:type="dxa"/>
              <w:left w:w="105" w:type="dxa"/>
              <w:bottom w:w="0" w:type="dxa"/>
              <w:right w:w="105" w:type="dxa"/>
            </w:tcMar>
          </w:tcPr>
          <w:p w14:paraId="730F8A18">
            <w:pPr>
              <w:pStyle w:val="7"/>
              <w:jc w:val="center"/>
              <w:rPr>
                <w:rFonts w:hint="default"/>
              </w:rPr>
            </w:pPr>
            <w:r>
              <w:t>瓶</w:t>
            </w:r>
          </w:p>
        </w:tc>
        <w:tc>
          <w:tcPr>
            <w:tcW w:w="1275" w:type="dxa"/>
            <w:tcBorders>
              <w:top w:val="nil"/>
              <w:left w:val="nil"/>
              <w:bottom w:val="single" w:color="000000" w:sz="4" w:space="0"/>
              <w:right w:val="single" w:color="000000" w:sz="4" w:space="0"/>
            </w:tcBorders>
            <w:tcMar>
              <w:top w:w="0" w:type="dxa"/>
              <w:left w:w="105" w:type="dxa"/>
              <w:bottom w:w="0" w:type="dxa"/>
              <w:right w:w="105" w:type="dxa"/>
            </w:tcMar>
          </w:tcPr>
          <w:p w14:paraId="704BC1B4">
            <w:pPr>
              <w:pStyle w:val="7"/>
              <w:jc w:val="center"/>
              <w:rPr>
                <w:rFonts w:hint="default"/>
              </w:rPr>
            </w:pPr>
            <w:r>
              <w:t>40升</w:t>
            </w:r>
          </w:p>
        </w:tc>
        <w:tc>
          <w:tcPr>
            <w:tcW w:w="1134" w:type="dxa"/>
            <w:tcBorders>
              <w:top w:val="nil"/>
              <w:left w:val="nil"/>
              <w:bottom w:val="single" w:color="000000" w:sz="4" w:space="0"/>
              <w:right w:val="nil"/>
            </w:tcBorders>
            <w:tcMar>
              <w:top w:w="0" w:type="dxa"/>
              <w:left w:w="105" w:type="dxa"/>
              <w:bottom w:w="0" w:type="dxa"/>
              <w:right w:w="105" w:type="dxa"/>
            </w:tcMar>
          </w:tcPr>
          <w:p w14:paraId="72AA0837">
            <w:pPr>
              <w:pStyle w:val="7"/>
              <w:jc w:val="center"/>
              <w:rPr>
                <w:rFonts w:hint="default"/>
              </w:rPr>
            </w:pPr>
            <w:bookmarkStart w:id="0" w:name="OLE_LINK3"/>
            <w:bookmarkStart w:id="1" w:name="OLE_LINK4"/>
            <w:r>
              <w:t>≥99.9</w:t>
            </w:r>
            <w:bookmarkEnd w:id="0"/>
            <w:bookmarkEnd w:id="1"/>
          </w:p>
        </w:tc>
        <w:tc>
          <w:tcPr>
            <w:tcW w:w="993"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6521D029">
            <w:pPr>
              <w:pStyle w:val="7"/>
              <w:jc w:val="center"/>
              <w:rPr>
                <w:rFonts w:hint="default"/>
              </w:rPr>
            </w:pPr>
          </w:p>
        </w:tc>
        <w:tc>
          <w:tcPr>
            <w:tcW w:w="1071" w:type="dxa"/>
            <w:tcBorders>
              <w:top w:val="nil"/>
              <w:left w:val="nil"/>
              <w:bottom w:val="single" w:color="000000" w:sz="4" w:space="0"/>
              <w:right w:val="single" w:color="000000" w:sz="4" w:space="0"/>
            </w:tcBorders>
            <w:tcMar>
              <w:top w:w="0" w:type="dxa"/>
              <w:left w:w="105" w:type="dxa"/>
              <w:bottom w:w="0" w:type="dxa"/>
              <w:right w:w="105" w:type="dxa"/>
            </w:tcMar>
          </w:tcPr>
          <w:p w14:paraId="2BF8866B">
            <w:pPr>
              <w:pStyle w:val="7"/>
              <w:jc w:val="center"/>
              <w:rPr>
                <w:rFonts w:hint="default"/>
              </w:rPr>
            </w:pPr>
          </w:p>
        </w:tc>
      </w:tr>
      <w:tr w14:paraId="0B4BBBDB">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rPr>
          <w:jc w:val="center"/>
        </w:trPr>
        <w:tc>
          <w:tcPr>
            <w:tcW w:w="430"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619D5AEC">
            <w:pPr>
              <w:pStyle w:val="7"/>
              <w:jc w:val="center"/>
              <w:rPr>
                <w:rFonts w:hint="default"/>
              </w:rPr>
            </w:pPr>
            <w:r>
              <w:t>13</w:t>
            </w:r>
          </w:p>
        </w:tc>
        <w:tc>
          <w:tcPr>
            <w:tcW w:w="2259" w:type="dxa"/>
            <w:tcBorders>
              <w:top w:val="nil"/>
              <w:left w:val="nil"/>
              <w:bottom w:val="single" w:color="000000" w:sz="4" w:space="0"/>
              <w:right w:val="single" w:color="000000" w:sz="4" w:space="0"/>
            </w:tcBorders>
            <w:tcMar>
              <w:top w:w="0" w:type="dxa"/>
              <w:left w:w="105" w:type="dxa"/>
              <w:bottom w:w="0" w:type="dxa"/>
              <w:right w:w="105" w:type="dxa"/>
            </w:tcMar>
          </w:tcPr>
          <w:p w14:paraId="7A25860E">
            <w:pPr>
              <w:pStyle w:val="7"/>
              <w:jc w:val="center"/>
              <w:rPr>
                <w:rFonts w:hint="default"/>
              </w:rPr>
            </w:pPr>
            <w:r>
              <w:rPr>
                <w:rFonts w:ascii="宋体" w:hAnsi="宋体" w:cs="宋体"/>
                <w:szCs w:val="21"/>
              </w:rPr>
              <w:t>高纯氦气</w:t>
            </w:r>
          </w:p>
        </w:tc>
        <w:tc>
          <w:tcPr>
            <w:tcW w:w="1134" w:type="dxa"/>
            <w:tcBorders>
              <w:top w:val="nil"/>
              <w:left w:val="nil"/>
              <w:bottom w:val="single" w:color="000000" w:sz="4" w:space="0"/>
              <w:right w:val="single" w:color="000000" w:sz="4" w:space="0"/>
            </w:tcBorders>
            <w:tcMar>
              <w:top w:w="0" w:type="dxa"/>
              <w:left w:w="105" w:type="dxa"/>
              <w:bottom w:w="0" w:type="dxa"/>
              <w:right w:w="105" w:type="dxa"/>
            </w:tcMar>
          </w:tcPr>
          <w:p w14:paraId="661C8112">
            <w:pPr>
              <w:pStyle w:val="7"/>
              <w:jc w:val="center"/>
              <w:rPr>
                <w:rFonts w:hint="default"/>
              </w:rPr>
            </w:pPr>
            <w:r>
              <w:t>瓶</w:t>
            </w:r>
          </w:p>
        </w:tc>
        <w:tc>
          <w:tcPr>
            <w:tcW w:w="1275" w:type="dxa"/>
            <w:tcBorders>
              <w:top w:val="nil"/>
              <w:left w:val="nil"/>
              <w:bottom w:val="single" w:color="000000" w:sz="4" w:space="0"/>
              <w:right w:val="single" w:color="000000" w:sz="4" w:space="0"/>
            </w:tcBorders>
            <w:tcMar>
              <w:top w:w="0" w:type="dxa"/>
              <w:left w:w="105" w:type="dxa"/>
              <w:bottom w:w="0" w:type="dxa"/>
              <w:right w:w="105" w:type="dxa"/>
            </w:tcMar>
          </w:tcPr>
          <w:p w14:paraId="22F58D82">
            <w:pPr>
              <w:pStyle w:val="7"/>
              <w:jc w:val="center"/>
              <w:rPr>
                <w:rFonts w:hint="default"/>
              </w:rPr>
            </w:pPr>
            <w:r>
              <w:t>40升</w:t>
            </w:r>
          </w:p>
        </w:tc>
        <w:tc>
          <w:tcPr>
            <w:tcW w:w="1134" w:type="dxa"/>
            <w:tcBorders>
              <w:top w:val="nil"/>
              <w:left w:val="nil"/>
              <w:bottom w:val="single" w:color="000000" w:sz="4" w:space="0"/>
              <w:right w:val="nil"/>
            </w:tcBorders>
            <w:tcMar>
              <w:top w:w="0" w:type="dxa"/>
              <w:left w:w="105" w:type="dxa"/>
              <w:bottom w:w="0" w:type="dxa"/>
              <w:right w:w="105" w:type="dxa"/>
            </w:tcMar>
          </w:tcPr>
          <w:p w14:paraId="50A6B72F">
            <w:pPr>
              <w:pStyle w:val="7"/>
              <w:jc w:val="center"/>
              <w:rPr>
                <w:rFonts w:hint="default"/>
              </w:rPr>
            </w:pPr>
            <w:r>
              <w:t>≥99.5</w:t>
            </w:r>
          </w:p>
        </w:tc>
        <w:tc>
          <w:tcPr>
            <w:tcW w:w="993"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57CF513C">
            <w:pPr>
              <w:pStyle w:val="7"/>
              <w:jc w:val="center"/>
              <w:rPr>
                <w:rFonts w:hint="default"/>
              </w:rPr>
            </w:pPr>
          </w:p>
        </w:tc>
        <w:tc>
          <w:tcPr>
            <w:tcW w:w="1071" w:type="dxa"/>
            <w:tcBorders>
              <w:top w:val="nil"/>
              <w:left w:val="nil"/>
              <w:bottom w:val="single" w:color="000000" w:sz="4" w:space="0"/>
              <w:right w:val="single" w:color="000000" w:sz="4" w:space="0"/>
            </w:tcBorders>
            <w:tcMar>
              <w:top w:w="0" w:type="dxa"/>
              <w:left w:w="105" w:type="dxa"/>
              <w:bottom w:w="0" w:type="dxa"/>
              <w:right w:w="105" w:type="dxa"/>
            </w:tcMar>
          </w:tcPr>
          <w:p w14:paraId="79BE8F5B">
            <w:pPr>
              <w:pStyle w:val="7"/>
              <w:jc w:val="center"/>
              <w:rPr>
                <w:rFonts w:hint="default"/>
              </w:rPr>
            </w:pPr>
          </w:p>
        </w:tc>
      </w:tr>
      <w:tr w14:paraId="7F10FAD6">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rPr>
          <w:jc w:val="center"/>
        </w:trPr>
        <w:tc>
          <w:tcPr>
            <w:tcW w:w="430"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6F949115">
            <w:pPr>
              <w:pStyle w:val="7"/>
              <w:jc w:val="center"/>
              <w:rPr>
                <w:rFonts w:hint="default"/>
              </w:rPr>
            </w:pPr>
            <w:r>
              <w:t>14</w:t>
            </w:r>
          </w:p>
        </w:tc>
        <w:tc>
          <w:tcPr>
            <w:tcW w:w="2259" w:type="dxa"/>
            <w:tcBorders>
              <w:top w:val="nil"/>
              <w:left w:val="nil"/>
              <w:bottom w:val="single" w:color="000000" w:sz="4" w:space="0"/>
              <w:right w:val="single" w:color="000000" w:sz="4" w:space="0"/>
            </w:tcBorders>
            <w:tcMar>
              <w:top w:w="0" w:type="dxa"/>
              <w:left w:w="105" w:type="dxa"/>
              <w:bottom w:w="0" w:type="dxa"/>
              <w:right w:w="105" w:type="dxa"/>
            </w:tcMar>
          </w:tcPr>
          <w:p w14:paraId="151EFAD6">
            <w:pPr>
              <w:pStyle w:val="7"/>
              <w:jc w:val="center"/>
              <w:rPr>
                <w:rFonts w:hint="default"/>
              </w:rPr>
            </w:pPr>
            <w:r>
              <w:t>干燥空气</w:t>
            </w:r>
          </w:p>
        </w:tc>
        <w:tc>
          <w:tcPr>
            <w:tcW w:w="1134" w:type="dxa"/>
            <w:tcBorders>
              <w:top w:val="nil"/>
              <w:left w:val="nil"/>
              <w:bottom w:val="single" w:color="000000" w:sz="4" w:space="0"/>
              <w:right w:val="single" w:color="000000" w:sz="4" w:space="0"/>
            </w:tcBorders>
            <w:tcMar>
              <w:top w:w="0" w:type="dxa"/>
              <w:left w:w="105" w:type="dxa"/>
              <w:bottom w:w="0" w:type="dxa"/>
              <w:right w:w="105" w:type="dxa"/>
            </w:tcMar>
          </w:tcPr>
          <w:p w14:paraId="67D9EA05">
            <w:pPr>
              <w:pStyle w:val="7"/>
              <w:jc w:val="center"/>
              <w:rPr>
                <w:rFonts w:hint="default"/>
              </w:rPr>
            </w:pPr>
            <w:r>
              <w:t>瓶</w:t>
            </w:r>
          </w:p>
        </w:tc>
        <w:tc>
          <w:tcPr>
            <w:tcW w:w="1275" w:type="dxa"/>
            <w:tcBorders>
              <w:top w:val="nil"/>
              <w:left w:val="nil"/>
              <w:bottom w:val="single" w:color="000000" w:sz="4" w:space="0"/>
              <w:right w:val="single" w:color="000000" w:sz="4" w:space="0"/>
            </w:tcBorders>
            <w:tcMar>
              <w:top w:w="0" w:type="dxa"/>
              <w:left w:w="105" w:type="dxa"/>
              <w:bottom w:w="0" w:type="dxa"/>
              <w:right w:w="105" w:type="dxa"/>
            </w:tcMar>
          </w:tcPr>
          <w:p w14:paraId="632AF692">
            <w:pPr>
              <w:pStyle w:val="7"/>
              <w:jc w:val="center"/>
              <w:rPr>
                <w:rFonts w:hint="default"/>
              </w:rPr>
            </w:pPr>
            <w:r>
              <w:t>4升</w:t>
            </w:r>
          </w:p>
        </w:tc>
        <w:tc>
          <w:tcPr>
            <w:tcW w:w="1134" w:type="dxa"/>
            <w:tcBorders>
              <w:top w:val="nil"/>
              <w:left w:val="nil"/>
              <w:bottom w:val="single" w:color="000000" w:sz="4" w:space="0"/>
              <w:right w:val="nil"/>
            </w:tcBorders>
            <w:tcMar>
              <w:top w:w="0" w:type="dxa"/>
              <w:left w:w="105" w:type="dxa"/>
              <w:bottom w:w="0" w:type="dxa"/>
              <w:right w:w="105" w:type="dxa"/>
            </w:tcMar>
          </w:tcPr>
          <w:p w14:paraId="1B63ACD3">
            <w:pPr>
              <w:pStyle w:val="7"/>
              <w:jc w:val="center"/>
              <w:rPr>
                <w:rFonts w:hint="default"/>
              </w:rPr>
            </w:pPr>
            <w:r>
              <w:t>/</w:t>
            </w:r>
          </w:p>
        </w:tc>
        <w:tc>
          <w:tcPr>
            <w:tcW w:w="993"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3844A99E">
            <w:pPr>
              <w:pStyle w:val="7"/>
              <w:jc w:val="center"/>
              <w:rPr>
                <w:rFonts w:hint="default"/>
              </w:rPr>
            </w:pPr>
          </w:p>
        </w:tc>
        <w:tc>
          <w:tcPr>
            <w:tcW w:w="1071" w:type="dxa"/>
            <w:tcBorders>
              <w:top w:val="nil"/>
              <w:left w:val="nil"/>
              <w:bottom w:val="single" w:color="000000" w:sz="4" w:space="0"/>
              <w:right w:val="single" w:color="000000" w:sz="4" w:space="0"/>
            </w:tcBorders>
            <w:tcMar>
              <w:top w:w="0" w:type="dxa"/>
              <w:left w:w="105" w:type="dxa"/>
              <w:bottom w:w="0" w:type="dxa"/>
              <w:right w:w="105" w:type="dxa"/>
            </w:tcMar>
          </w:tcPr>
          <w:p w14:paraId="359C9E5F">
            <w:pPr>
              <w:pStyle w:val="7"/>
              <w:jc w:val="center"/>
              <w:rPr>
                <w:rFonts w:hint="default"/>
              </w:rPr>
            </w:pPr>
          </w:p>
        </w:tc>
      </w:tr>
      <w:tr w14:paraId="20E2550F">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rPr>
          <w:jc w:val="center"/>
        </w:trPr>
        <w:tc>
          <w:tcPr>
            <w:tcW w:w="430"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48B51FEE">
            <w:pPr>
              <w:pStyle w:val="7"/>
              <w:jc w:val="center"/>
              <w:rPr>
                <w:rFonts w:hint="default"/>
              </w:rPr>
            </w:pPr>
            <w:r>
              <w:t>15</w:t>
            </w:r>
          </w:p>
        </w:tc>
        <w:tc>
          <w:tcPr>
            <w:tcW w:w="2259" w:type="dxa"/>
            <w:tcBorders>
              <w:top w:val="nil"/>
              <w:left w:val="nil"/>
              <w:bottom w:val="single" w:color="000000" w:sz="4" w:space="0"/>
              <w:right w:val="single" w:color="000000" w:sz="4" w:space="0"/>
            </w:tcBorders>
            <w:tcMar>
              <w:top w:w="0" w:type="dxa"/>
              <w:left w:w="105" w:type="dxa"/>
              <w:bottom w:w="0" w:type="dxa"/>
              <w:right w:w="105" w:type="dxa"/>
            </w:tcMar>
          </w:tcPr>
          <w:p w14:paraId="1BC550B7">
            <w:pPr>
              <w:pStyle w:val="7"/>
              <w:jc w:val="center"/>
              <w:rPr>
                <w:rFonts w:hint="default"/>
              </w:rPr>
            </w:pPr>
            <w:r>
              <w:t>干燥空气</w:t>
            </w:r>
          </w:p>
        </w:tc>
        <w:tc>
          <w:tcPr>
            <w:tcW w:w="1134" w:type="dxa"/>
            <w:tcBorders>
              <w:top w:val="nil"/>
              <w:left w:val="nil"/>
              <w:bottom w:val="single" w:color="000000" w:sz="4" w:space="0"/>
              <w:right w:val="single" w:color="000000" w:sz="4" w:space="0"/>
            </w:tcBorders>
            <w:tcMar>
              <w:top w:w="0" w:type="dxa"/>
              <w:left w:w="105" w:type="dxa"/>
              <w:bottom w:w="0" w:type="dxa"/>
              <w:right w:w="105" w:type="dxa"/>
            </w:tcMar>
          </w:tcPr>
          <w:p w14:paraId="06B1AE15">
            <w:pPr>
              <w:pStyle w:val="7"/>
              <w:jc w:val="center"/>
              <w:rPr>
                <w:rFonts w:hint="default"/>
              </w:rPr>
            </w:pPr>
            <w:r>
              <w:t>瓶</w:t>
            </w:r>
          </w:p>
        </w:tc>
        <w:tc>
          <w:tcPr>
            <w:tcW w:w="1275" w:type="dxa"/>
            <w:tcBorders>
              <w:top w:val="nil"/>
              <w:left w:val="nil"/>
              <w:bottom w:val="single" w:color="000000" w:sz="4" w:space="0"/>
              <w:right w:val="single" w:color="000000" w:sz="4" w:space="0"/>
            </w:tcBorders>
            <w:tcMar>
              <w:top w:w="0" w:type="dxa"/>
              <w:left w:w="105" w:type="dxa"/>
              <w:bottom w:w="0" w:type="dxa"/>
              <w:right w:w="105" w:type="dxa"/>
            </w:tcMar>
          </w:tcPr>
          <w:p w14:paraId="2E57D79D">
            <w:pPr>
              <w:pStyle w:val="7"/>
              <w:jc w:val="center"/>
              <w:rPr>
                <w:rFonts w:hint="default"/>
              </w:rPr>
            </w:pPr>
            <w:r>
              <w:rPr>
                <w:rFonts w:hint="default"/>
              </w:rPr>
              <w:t>1</w:t>
            </w:r>
            <w:r>
              <w:t>0升</w:t>
            </w:r>
          </w:p>
        </w:tc>
        <w:tc>
          <w:tcPr>
            <w:tcW w:w="1134" w:type="dxa"/>
            <w:tcBorders>
              <w:top w:val="nil"/>
              <w:left w:val="nil"/>
              <w:bottom w:val="single" w:color="000000" w:sz="4" w:space="0"/>
              <w:right w:val="nil"/>
            </w:tcBorders>
            <w:tcMar>
              <w:top w:w="0" w:type="dxa"/>
              <w:left w:w="105" w:type="dxa"/>
              <w:bottom w:w="0" w:type="dxa"/>
              <w:right w:w="105" w:type="dxa"/>
            </w:tcMar>
          </w:tcPr>
          <w:p w14:paraId="049D8968">
            <w:pPr>
              <w:pStyle w:val="7"/>
              <w:jc w:val="center"/>
              <w:rPr>
                <w:rFonts w:hint="default"/>
              </w:rPr>
            </w:pPr>
            <w:r>
              <w:t>/</w:t>
            </w:r>
          </w:p>
        </w:tc>
        <w:tc>
          <w:tcPr>
            <w:tcW w:w="993"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6C4C17A8">
            <w:pPr>
              <w:pStyle w:val="7"/>
              <w:jc w:val="center"/>
              <w:rPr>
                <w:rFonts w:hint="default"/>
              </w:rPr>
            </w:pPr>
          </w:p>
        </w:tc>
        <w:tc>
          <w:tcPr>
            <w:tcW w:w="1071" w:type="dxa"/>
            <w:tcBorders>
              <w:top w:val="nil"/>
              <w:left w:val="nil"/>
              <w:bottom w:val="single" w:color="000000" w:sz="4" w:space="0"/>
              <w:right w:val="single" w:color="000000" w:sz="4" w:space="0"/>
            </w:tcBorders>
            <w:tcMar>
              <w:top w:w="0" w:type="dxa"/>
              <w:left w:w="105" w:type="dxa"/>
              <w:bottom w:w="0" w:type="dxa"/>
              <w:right w:w="105" w:type="dxa"/>
            </w:tcMar>
          </w:tcPr>
          <w:p w14:paraId="3DFBA64D">
            <w:pPr>
              <w:pStyle w:val="7"/>
              <w:jc w:val="center"/>
              <w:rPr>
                <w:rFonts w:hint="default"/>
              </w:rPr>
            </w:pPr>
          </w:p>
        </w:tc>
      </w:tr>
      <w:tr w14:paraId="4F9D1090">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rPr>
          <w:jc w:val="center"/>
        </w:trPr>
        <w:tc>
          <w:tcPr>
            <w:tcW w:w="430"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189F2899">
            <w:pPr>
              <w:pStyle w:val="7"/>
              <w:jc w:val="center"/>
              <w:rPr>
                <w:rFonts w:hint="default"/>
              </w:rPr>
            </w:pPr>
            <w:r>
              <w:t>16</w:t>
            </w:r>
          </w:p>
        </w:tc>
        <w:tc>
          <w:tcPr>
            <w:tcW w:w="2259" w:type="dxa"/>
            <w:tcBorders>
              <w:top w:val="nil"/>
              <w:left w:val="nil"/>
              <w:bottom w:val="single" w:color="000000" w:sz="4" w:space="0"/>
              <w:right w:val="single" w:color="000000" w:sz="4" w:space="0"/>
            </w:tcBorders>
            <w:tcMar>
              <w:top w:w="0" w:type="dxa"/>
              <w:left w:w="105" w:type="dxa"/>
              <w:bottom w:w="0" w:type="dxa"/>
              <w:right w:w="105" w:type="dxa"/>
            </w:tcMar>
          </w:tcPr>
          <w:p w14:paraId="50B5B832">
            <w:pPr>
              <w:pStyle w:val="7"/>
              <w:jc w:val="center"/>
              <w:rPr>
                <w:rFonts w:hint="default"/>
              </w:rPr>
            </w:pPr>
            <w:r>
              <w:t>干燥空气</w:t>
            </w:r>
          </w:p>
        </w:tc>
        <w:tc>
          <w:tcPr>
            <w:tcW w:w="1134" w:type="dxa"/>
            <w:tcBorders>
              <w:top w:val="nil"/>
              <w:left w:val="nil"/>
              <w:bottom w:val="single" w:color="000000" w:sz="4" w:space="0"/>
              <w:right w:val="single" w:color="000000" w:sz="4" w:space="0"/>
            </w:tcBorders>
            <w:tcMar>
              <w:top w:w="0" w:type="dxa"/>
              <w:left w:w="105" w:type="dxa"/>
              <w:bottom w:w="0" w:type="dxa"/>
              <w:right w:w="105" w:type="dxa"/>
            </w:tcMar>
          </w:tcPr>
          <w:p w14:paraId="27B7CD92">
            <w:pPr>
              <w:pStyle w:val="7"/>
              <w:jc w:val="center"/>
              <w:rPr>
                <w:rFonts w:hint="default"/>
              </w:rPr>
            </w:pPr>
            <w:r>
              <w:t>瓶</w:t>
            </w:r>
          </w:p>
        </w:tc>
        <w:tc>
          <w:tcPr>
            <w:tcW w:w="1275" w:type="dxa"/>
            <w:tcBorders>
              <w:top w:val="nil"/>
              <w:left w:val="nil"/>
              <w:bottom w:val="single" w:color="000000" w:sz="4" w:space="0"/>
              <w:right w:val="single" w:color="000000" w:sz="4" w:space="0"/>
            </w:tcBorders>
            <w:tcMar>
              <w:top w:w="0" w:type="dxa"/>
              <w:left w:w="105" w:type="dxa"/>
              <w:bottom w:w="0" w:type="dxa"/>
              <w:right w:w="105" w:type="dxa"/>
            </w:tcMar>
          </w:tcPr>
          <w:p w14:paraId="6753F91F">
            <w:pPr>
              <w:pStyle w:val="7"/>
              <w:jc w:val="center"/>
              <w:rPr>
                <w:rFonts w:hint="default"/>
              </w:rPr>
            </w:pPr>
            <w:r>
              <w:t>40升</w:t>
            </w:r>
          </w:p>
        </w:tc>
        <w:tc>
          <w:tcPr>
            <w:tcW w:w="1134" w:type="dxa"/>
            <w:tcBorders>
              <w:top w:val="nil"/>
              <w:left w:val="nil"/>
              <w:bottom w:val="single" w:color="000000" w:sz="4" w:space="0"/>
              <w:right w:val="nil"/>
            </w:tcBorders>
            <w:tcMar>
              <w:top w:w="0" w:type="dxa"/>
              <w:left w:w="105" w:type="dxa"/>
              <w:bottom w:w="0" w:type="dxa"/>
              <w:right w:w="105" w:type="dxa"/>
            </w:tcMar>
          </w:tcPr>
          <w:p w14:paraId="5E291C13">
            <w:pPr>
              <w:pStyle w:val="7"/>
              <w:jc w:val="center"/>
              <w:rPr>
                <w:rFonts w:hint="default"/>
              </w:rPr>
            </w:pPr>
            <w:r>
              <w:t>/</w:t>
            </w:r>
          </w:p>
        </w:tc>
        <w:tc>
          <w:tcPr>
            <w:tcW w:w="993"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53168713">
            <w:pPr>
              <w:pStyle w:val="7"/>
              <w:jc w:val="center"/>
              <w:rPr>
                <w:rFonts w:hint="default"/>
              </w:rPr>
            </w:pPr>
          </w:p>
        </w:tc>
        <w:tc>
          <w:tcPr>
            <w:tcW w:w="1071" w:type="dxa"/>
            <w:tcBorders>
              <w:top w:val="nil"/>
              <w:left w:val="nil"/>
              <w:bottom w:val="single" w:color="000000" w:sz="4" w:space="0"/>
              <w:right w:val="single" w:color="000000" w:sz="4" w:space="0"/>
            </w:tcBorders>
            <w:tcMar>
              <w:top w:w="0" w:type="dxa"/>
              <w:left w:w="105" w:type="dxa"/>
              <w:bottom w:w="0" w:type="dxa"/>
              <w:right w:w="105" w:type="dxa"/>
            </w:tcMar>
          </w:tcPr>
          <w:p w14:paraId="78175330">
            <w:pPr>
              <w:pStyle w:val="7"/>
              <w:jc w:val="center"/>
              <w:rPr>
                <w:rFonts w:hint="default"/>
              </w:rPr>
            </w:pPr>
          </w:p>
        </w:tc>
      </w:tr>
      <w:tr w14:paraId="1042B3FF">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rPr>
          <w:jc w:val="center"/>
        </w:trPr>
        <w:tc>
          <w:tcPr>
            <w:tcW w:w="430"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487A8784">
            <w:pPr>
              <w:pStyle w:val="7"/>
              <w:jc w:val="center"/>
              <w:rPr>
                <w:rFonts w:hint="default"/>
              </w:rPr>
            </w:pPr>
            <w:r>
              <w:t>17</w:t>
            </w:r>
          </w:p>
        </w:tc>
        <w:tc>
          <w:tcPr>
            <w:tcW w:w="2259" w:type="dxa"/>
            <w:tcBorders>
              <w:top w:val="nil"/>
              <w:left w:val="nil"/>
              <w:bottom w:val="single" w:color="000000" w:sz="4" w:space="0"/>
              <w:right w:val="single" w:color="000000" w:sz="4" w:space="0"/>
            </w:tcBorders>
            <w:tcMar>
              <w:top w:w="0" w:type="dxa"/>
              <w:left w:w="105" w:type="dxa"/>
              <w:bottom w:w="0" w:type="dxa"/>
              <w:right w:w="105" w:type="dxa"/>
            </w:tcMar>
          </w:tcPr>
          <w:p w14:paraId="0022C537">
            <w:pPr>
              <w:pStyle w:val="7"/>
              <w:jc w:val="center"/>
              <w:rPr>
                <w:rFonts w:hint="default"/>
              </w:rPr>
            </w:pPr>
            <w:r>
              <w:t>干冰</w:t>
            </w:r>
          </w:p>
        </w:tc>
        <w:tc>
          <w:tcPr>
            <w:tcW w:w="1134" w:type="dxa"/>
            <w:tcBorders>
              <w:top w:val="nil"/>
              <w:left w:val="nil"/>
              <w:bottom w:val="single" w:color="000000" w:sz="4" w:space="0"/>
              <w:right w:val="single" w:color="000000" w:sz="4" w:space="0"/>
            </w:tcBorders>
            <w:tcMar>
              <w:top w:w="0" w:type="dxa"/>
              <w:left w:w="105" w:type="dxa"/>
              <w:bottom w:w="0" w:type="dxa"/>
              <w:right w:w="105" w:type="dxa"/>
            </w:tcMar>
          </w:tcPr>
          <w:p w14:paraId="271D98C3">
            <w:pPr>
              <w:pStyle w:val="7"/>
              <w:jc w:val="center"/>
              <w:rPr>
                <w:rFonts w:hint="default"/>
              </w:rPr>
            </w:pPr>
            <w:r>
              <w:t>公斤</w:t>
            </w:r>
          </w:p>
        </w:tc>
        <w:tc>
          <w:tcPr>
            <w:tcW w:w="1275" w:type="dxa"/>
            <w:tcBorders>
              <w:top w:val="nil"/>
              <w:left w:val="nil"/>
              <w:bottom w:val="single" w:color="000000" w:sz="4" w:space="0"/>
              <w:right w:val="single" w:color="000000" w:sz="4" w:space="0"/>
            </w:tcBorders>
            <w:tcMar>
              <w:top w:w="0" w:type="dxa"/>
              <w:left w:w="105" w:type="dxa"/>
              <w:bottom w:w="0" w:type="dxa"/>
              <w:right w:w="105" w:type="dxa"/>
            </w:tcMar>
          </w:tcPr>
          <w:p w14:paraId="15E93514">
            <w:pPr>
              <w:pStyle w:val="7"/>
              <w:jc w:val="center"/>
              <w:rPr>
                <w:rFonts w:hint="default"/>
              </w:rPr>
            </w:pPr>
            <w:r>
              <w:t>/</w:t>
            </w:r>
          </w:p>
        </w:tc>
        <w:tc>
          <w:tcPr>
            <w:tcW w:w="1134" w:type="dxa"/>
            <w:tcBorders>
              <w:top w:val="nil"/>
              <w:left w:val="nil"/>
              <w:bottom w:val="single" w:color="000000" w:sz="4" w:space="0"/>
              <w:right w:val="nil"/>
            </w:tcBorders>
            <w:tcMar>
              <w:top w:w="0" w:type="dxa"/>
              <w:left w:w="105" w:type="dxa"/>
              <w:bottom w:w="0" w:type="dxa"/>
              <w:right w:w="105" w:type="dxa"/>
            </w:tcMar>
          </w:tcPr>
          <w:p w14:paraId="780FCEAB">
            <w:pPr>
              <w:pStyle w:val="7"/>
              <w:jc w:val="center"/>
              <w:rPr>
                <w:rFonts w:hint="default"/>
              </w:rPr>
            </w:pPr>
            <w:r>
              <w:t>/</w:t>
            </w:r>
          </w:p>
        </w:tc>
        <w:tc>
          <w:tcPr>
            <w:tcW w:w="993"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6955778F">
            <w:pPr>
              <w:pStyle w:val="7"/>
              <w:jc w:val="center"/>
              <w:rPr>
                <w:rFonts w:hint="default"/>
              </w:rPr>
            </w:pPr>
          </w:p>
        </w:tc>
        <w:tc>
          <w:tcPr>
            <w:tcW w:w="1071" w:type="dxa"/>
            <w:tcBorders>
              <w:top w:val="nil"/>
              <w:left w:val="nil"/>
              <w:bottom w:val="single" w:color="000000" w:sz="4" w:space="0"/>
              <w:right w:val="single" w:color="000000" w:sz="4" w:space="0"/>
            </w:tcBorders>
            <w:tcMar>
              <w:top w:w="0" w:type="dxa"/>
              <w:left w:w="105" w:type="dxa"/>
              <w:bottom w:w="0" w:type="dxa"/>
              <w:right w:w="105" w:type="dxa"/>
            </w:tcMar>
          </w:tcPr>
          <w:p w14:paraId="094F80DD">
            <w:pPr>
              <w:pStyle w:val="7"/>
              <w:jc w:val="center"/>
              <w:rPr>
                <w:rFonts w:hint="default"/>
              </w:rPr>
            </w:pPr>
          </w:p>
        </w:tc>
      </w:tr>
      <w:tr w14:paraId="09202536">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rPr>
          <w:jc w:val="center"/>
        </w:trPr>
        <w:tc>
          <w:tcPr>
            <w:tcW w:w="430"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091CD20B">
            <w:pPr>
              <w:pStyle w:val="7"/>
              <w:jc w:val="center"/>
              <w:rPr>
                <w:rFonts w:hint="default"/>
                <w:lang w:eastAsia="zh-CN"/>
              </w:rPr>
            </w:pPr>
            <w:r>
              <w:rPr>
                <w:lang w:eastAsia="zh-CN"/>
              </w:rPr>
              <w:t>1</w:t>
            </w:r>
            <w:r>
              <w:rPr>
                <w:rFonts w:hint="default"/>
                <w:lang w:eastAsia="zh-CN"/>
              </w:rPr>
              <w:t>8</w:t>
            </w:r>
          </w:p>
        </w:tc>
        <w:tc>
          <w:tcPr>
            <w:tcW w:w="2259" w:type="dxa"/>
            <w:tcBorders>
              <w:top w:val="nil"/>
              <w:left w:val="nil"/>
              <w:bottom w:val="single" w:color="000000" w:sz="4" w:space="0"/>
              <w:right w:val="single" w:color="000000" w:sz="4" w:space="0"/>
            </w:tcBorders>
            <w:tcMar>
              <w:top w:w="0" w:type="dxa"/>
              <w:left w:w="105" w:type="dxa"/>
              <w:bottom w:w="0" w:type="dxa"/>
              <w:right w:w="105" w:type="dxa"/>
            </w:tcMar>
            <w:vAlign w:val="center"/>
          </w:tcPr>
          <w:p w14:paraId="4E2E5DB8">
            <w:pPr>
              <w:jc w:val="center"/>
              <w:rPr>
                <w:rFonts w:ascii="宋体" w:hAnsi="宋体" w:cs="宋体"/>
                <w:kern w:val="0"/>
                <w:szCs w:val="21"/>
              </w:rPr>
            </w:pPr>
            <w:r>
              <w:rPr>
                <w:rFonts w:hint="eastAsia" w:ascii="宋体" w:hAnsi="宋体" w:cs="宋体"/>
                <w:kern w:val="0"/>
                <w:szCs w:val="21"/>
              </w:rPr>
              <w:t>混合气N</w:t>
            </w:r>
            <w:r>
              <w:rPr>
                <w:rFonts w:hint="eastAsia" w:ascii="宋体" w:hAnsi="宋体" w:cs="宋体"/>
                <w:kern w:val="0"/>
                <w:szCs w:val="21"/>
                <w:vertAlign w:val="subscript"/>
              </w:rPr>
              <w:t>2</w:t>
            </w:r>
            <w:r>
              <w:rPr>
                <w:rFonts w:hint="eastAsia" w:ascii="宋体" w:hAnsi="宋体" w:cs="宋体"/>
                <w:kern w:val="0"/>
                <w:szCs w:val="21"/>
              </w:rPr>
              <w:t>:20%＋O</w:t>
            </w:r>
            <w:r>
              <w:rPr>
                <w:rFonts w:hint="eastAsia" w:ascii="宋体" w:hAnsi="宋体" w:cs="宋体"/>
                <w:kern w:val="0"/>
                <w:szCs w:val="21"/>
                <w:vertAlign w:val="subscript"/>
              </w:rPr>
              <w:t>2</w:t>
            </w:r>
            <w:r>
              <w:rPr>
                <w:rFonts w:hint="eastAsia" w:ascii="宋体" w:hAnsi="宋体" w:cs="宋体"/>
                <w:kern w:val="0"/>
                <w:szCs w:val="21"/>
              </w:rPr>
              <w:t>:Bal</w:t>
            </w:r>
          </w:p>
        </w:tc>
        <w:tc>
          <w:tcPr>
            <w:tcW w:w="1134" w:type="dxa"/>
            <w:tcBorders>
              <w:top w:val="nil"/>
              <w:left w:val="nil"/>
              <w:bottom w:val="single" w:color="000000" w:sz="4" w:space="0"/>
              <w:right w:val="single" w:color="000000" w:sz="4" w:space="0"/>
            </w:tcBorders>
            <w:tcMar>
              <w:top w:w="0" w:type="dxa"/>
              <w:left w:w="105" w:type="dxa"/>
              <w:bottom w:w="0" w:type="dxa"/>
              <w:right w:w="105" w:type="dxa"/>
            </w:tcMar>
          </w:tcPr>
          <w:p w14:paraId="0D6F6BB5">
            <w:pPr>
              <w:pStyle w:val="7"/>
              <w:jc w:val="center"/>
              <w:rPr>
                <w:rFonts w:hint="default"/>
              </w:rPr>
            </w:pPr>
            <w:r>
              <w:t>瓶</w:t>
            </w:r>
          </w:p>
        </w:tc>
        <w:tc>
          <w:tcPr>
            <w:tcW w:w="1275" w:type="dxa"/>
            <w:tcBorders>
              <w:top w:val="nil"/>
              <w:left w:val="nil"/>
              <w:bottom w:val="single" w:color="000000" w:sz="4" w:space="0"/>
              <w:right w:val="single" w:color="000000" w:sz="4" w:space="0"/>
            </w:tcBorders>
            <w:tcMar>
              <w:top w:w="0" w:type="dxa"/>
              <w:left w:w="105" w:type="dxa"/>
              <w:bottom w:w="0" w:type="dxa"/>
              <w:right w:w="105" w:type="dxa"/>
            </w:tcMar>
          </w:tcPr>
          <w:p w14:paraId="5943A157">
            <w:pPr>
              <w:pStyle w:val="7"/>
              <w:jc w:val="center"/>
              <w:rPr>
                <w:rFonts w:hint="default"/>
              </w:rPr>
            </w:pPr>
            <w:r>
              <w:rPr>
                <w:rFonts w:hint="default"/>
              </w:rPr>
              <w:t>40</w:t>
            </w:r>
            <w:r>
              <w:t>升</w:t>
            </w:r>
          </w:p>
        </w:tc>
        <w:tc>
          <w:tcPr>
            <w:tcW w:w="1134" w:type="dxa"/>
            <w:tcBorders>
              <w:top w:val="nil"/>
              <w:left w:val="nil"/>
              <w:bottom w:val="single" w:color="000000" w:sz="4" w:space="0"/>
              <w:right w:val="nil"/>
            </w:tcBorders>
            <w:tcMar>
              <w:top w:w="0" w:type="dxa"/>
              <w:left w:w="105" w:type="dxa"/>
              <w:bottom w:w="0" w:type="dxa"/>
              <w:right w:w="105" w:type="dxa"/>
            </w:tcMar>
          </w:tcPr>
          <w:p w14:paraId="7F27EEDE">
            <w:pPr>
              <w:pStyle w:val="7"/>
              <w:jc w:val="center"/>
              <w:rPr>
                <w:rFonts w:hint="default"/>
              </w:rPr>
            </w:pPr>
            <w:r>
              <w:t>/</w:t>
            </w:r>
          </w:p>
        </w:tc>
        <w:tc>
          <w:tcPr>
            <w:tcW w:w="993"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0DF67B62">
            <w:pPr>
              <w:pStyle w:val="7"/>
              <w:jc w:val="center"/>
              <w:rPr>
                <w:rFonts w:hint="default"/>
              </w:rPr>
            </w:pPr>
          </w:p>
        </w:tc>
        <w:tc>
          <w:tcPr>
            <w:tcW w:w="1071" w:type="dxa"/>
            <w:tcBorders>
              <w:top w:val="nil"/>
              <w:left w:val="nil"/>
              <w:bottom w:val="single" w:color="000000" w:sz="4" w:space="0"/>
              <w:right w:val="single" w:color="000000" w:sz="4" w:space="0"/>
            </w:tcBorders>
            <w:tcMar>
              <w:top w:w="0" w:type="dxa"/>
              <w:left w:w="105" w:type="dxa"/>
              <w:bottom w:w="0" w:type="dxa"/>
              <w:right w:w="105" w:type="dxa"/>
            </w:tcMar>
          </w:tcPr>
          <w:p w14:paraId="0821A3BF">
            <w:pPr>
              <w:pStyle w:val="7"/>
              <w:jc w:val="center"/>
              <w:rPr>
                <w:rFonts w:hint="default"/>
              </w:rPr>
            </w:pPr>
          </w:p>
        </w:tc>
      </w:tr>
      <w:tr w14:paraId="280128CB">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rPr>
          <w:jc w:val="center"/>
        </w:trPr>
        <w:tc>
          <w:tcPr>
            <w:tcW w:w="430" w:type="dxa"/>
            <w:tcBorders>
              <w:top w:val="nil"/>
              <w:left w:val="single" w:color="000000" w:sz="4" w:space="0"/>
              <w:bottom w:val="single" w:color="auto" w:sz="4" w:space="0"/>
              <w:right w:val="single" w:color="000000" w:sz="4" w:space="0"/>
            </w:tcBorders>
            <w:tcMar>
              <w:top w:w="0" w:type="dxa"/>
              <w:left w:w="105" w:type="dxa"/>
              <w:bottom w:w="0" w:type="dxa"/>
              <w:right w:w="105" w:type="dxa"/>
            </w:tcMar>
          </w:tcPr>
          <w:p w14:paraId="6735C5CC">
            <w:pPr>
              <w:pStyle w:val="7"/>
              <w:jc w:val="center"/>
              <w:rPr>
                <w:rFonts w:hint="default"/>
                <w:lang w:eastAsia="zh-CN"/>
              </w:rPr>
            </w:pPr>
            <w:r>
              <w:rPr>
                <w:lang w:eastAsia="zh-CN"/>
              </w:rPr>
              <w:t>1</w:t>
            </w:r>
            <w:r>
              <w:rPr>
                <w:rFonts w:hint="default"/>
                <w:lang w:eastAsia="zh-CN"/>
              </w:rPr>
              <w:t>9</w:t>
            </w:r>
          </w:p>
        </w:tc>
        <w:tc>
          <w:tcPr>
            <w:tcW w:w="2259" w:type="dxa"/>
            <w:tcBorders>
              <w:top w:val="nil"/>
              <w:left w:val="nil"/>
              <w:bottom w:val="single" w:color="auto" w:sz="4" w:space="0"/>
              <w:right w:val="single" w:color="000000" w:sz="4" w:space="0"/>
            </w:tcBorders>
            <w:tcMar>
              <w:top w:w="0" w:type="dxa"/>
              <w:left w:w="105" w:type="dxa"/>
              <w:bottom w:w="0" w:type="dxa"/>
              <w:right w:w="105" w:type="dxa"/>
            </w:tcMar>
            <w:vAlign w:val="center"/>
          </w:tcPr>
          <w:p w14:paraId="71CD886C">
            <w:pPr>
              <w:jc w:val="center"/>
              <w:rPr>
                <w:rFonts w:ascii="宋体" w:hAnsi="宋体" w:cs="宋体"/>
                <w:kern w:val="0"/>
                <w:szCs w:val="21"/>
              </w:rPr>
            </w:pPr>
            <w:r>
              <w:rPr>
                <w:rFonts w:hint="eastAsia" w:ascii="宋体" w:hAnsi="宋体" w:cs="宋体"/>
                <w:kern w:val="0"/>
                <w:szCs w:val="21"/>
              </w:rPr>
              <w:t>混合气CO</w:t>
            </w:r>
            <w:r>
              <w:rPr>
                <w:rFonts w:hint="eastAsia" w:ascii="宋体" w:hAnsi="宋体" w:cs="宋体"/>
                <w:kern w:val="0"/>
                <w:szCs w:val="21"/>
                <w:vertAlign w:val="subscript"/>
              </w:rPr>
              <w:t>2</w:t>
            </w:r>
            <w:r>
              <w:rPr>
                <w:rFonts w:hint="eastAsia" w:ascii="宋体" w:hAnsi="宋体" w:cs="宋体"/>
                <w:kern w:val="0"/>
                <w:szCs w:val="21"/>
              </w:rPr>
              <w:t>:5%＋Air:Bal</w:t>
            </w:r>
          </w:p>
        </w:tc>
        <w:tc>
          <w:tcPr>
            <w:tcW w:w="1134" w:type="dxa"/>
            <w:tcBorders>
              <w:top w:val="nil"/>
              <w:left w:val="nil"/>
              <w:bottom w:val="single" w:color="auto" w:sz="4" w:space="0"/>
              <w:right w:val="single" w:color="000000" w:sz="4" w:space="0"/>
            </w:tcBorders>
            <w:tcMar>
              <w:top w:w="0" w:type="dxa"/>
              <w:left w:w="105" w:type="dxa"/>
              <w:bottom w:w="0" w:type="dxa"/>
              <w:right w:w="105" w:type="dxa"/>
            </w:tcMar>
          </w:tcPr>
          <w:p w14:paraId="2250B88D">
            <w:pPr>
              <w:pStyle w:val="7"/>
              <w:jc w:val="center"/>
              <w:rPr>
                <w:rFonts w:hint="default"/>
              </w:rPr>
            </w:pPr>
            <w:bookmarkStart w:id="2" w:name="OLE_LINK6"/>
            <w:r>
              <w:t>瓶</w:t>
            </w:r>
            <w:bookmarkEnd w:id="2"/>
          </w:p>
        </w:tc>
        <w:tc>
          <w:tcPr>
            <w:tcW w:w="1275" w:type="dxa"/>
            <w:tcBorders>
              <w:top w:val="nil"/>
              <w:left w:val="nil"/>
              <w:bottom w:val="single" w:color="auto" w:sz="4" w:space="0"/>
              <w:right w:val="single" w:color="000000" w:sz="4" w:space="0"/>
            </w:tcBorders>
            <w:tcMar>
              <w:top w:w="0" w:type="dxa"/>
              <w:left w:w="105" w:type="dxa"/>
              <w:bottom w:w="0" w:type="dxa"/>
              <w:right w:w="105" w:type="dxa"/>
            </w:tcMar>
          </w:tcPr>
          <w:p w14:paraId="2C2FEA11">
            <w:pPr>
              <w:pStyle w:val="7"/>
              <w:jc w:val="center"/>
              <w:rPr>
                <w:rFonts w:hint="default"/>
              </w:rPr>
            </w:pPr>
            <w:r>
              <w:t>40升</w:t>
            </w:r>
          </w:p>
        </w:tc>
        <w:tc>
          <w:tcPr>
            <w:tcW w:w="1134" w:type="dxa"/>
            <w:tcBorders>
              <w:top w:val="nil"/>
              <w:left w:val="nil"/>
              <w:bottom w:val="single" w:color="auto" w:sz="4" w:space="0"/>
              <w:right w:val="nil"/>
            </w:tcBorders>
            <w:tcMar>
              <w:top w:w="0" w:type="dxa"/>
              <w:left w:w="105" w:type="dxa"/>
              <w:bottom w:w="0" w:type="dxa"/>
              <w:right w:w="105" w:type="dxa"/>
            </w:tcMar>
          </w:tcPr>
          <w:p w14:paraId="7AD64097">
            <w:pPr>
              <w:pStyle w:val="7"/>
              <w:jc w:val="center"/>
              <w:rPr>
                <w:rFonts w:hint="default"/>
              </w:rPr>
            </w:pPr>
            <w:r>
              <w:t>/</w:t>
            </w:r>
          </w:p>
        </w:tc>
        <w:tc>
          <w:tcPr>
            <w:tcW w:w="993" w:type="dxa"/>
            <w:tcBorders>
              <w:top w:val="nil"/>
              <w:left w:val="single" w:color="000000" w:sz="4" w:space="0"/>
              <w:bottom w:val="single" w:color="auto" w:sz="4" w:space="0"/>
              <w:right w:val="single" w:color="000000" w:sz="4" w:space="0"/>
            </w:tcBorders>
            <w:tcMar>
              <w:top w:w="0" w:type="dxa"/>
              <w:left w:w="105" w:type="dxa"/>
              <w:bottom w:w="0" w:type="dxa"/>
              <w:right w:w="105" w:type="dxa"/>
            </w:tcMar>
          </w:tcPr>
          <w:p w14:paraId="1842ABCA">
            <w:pPr>
              <w:pStyle w:val="7"/>
              <w:jc w:val="center"/>
              <w:rPr>
                <w:rFonts w:hint="default"/>
              </w:rPr>
            </w:pPr>
          </w:p>
        </w:tc>
        <w:tc>
          <w:tcPr>
            <w:tcW w:w="1071" w:type="dxa"/>
            <w:tcBorders>
              <w:top w:val="nil"/>
              <w:left w:val="nil"/>
              <w:bottom w:val="single" w:color="auto" w:sz="4" w:space="0"/>
              <w:right w:val="single" w:color="000000" w:sz="4" w:space="0"/>
            </w:tcBorders>
            <w:tcMar>
              <w:top w:w="0" w:type="dxa"/>
              <w:left w:w="105" w:type="dxa"/>
              <w:bottom w:w="0" w:type="dxa"/>
              <w:right w:w="105" w:type="dxa"/>
            </w:tcMar>
          </w:tcPr>
          <w:p w14:paraId="01A9FB41">
            <w:pPr>
              <w:pStyle w:val="7"/>
              <w:jc w:val="center"/>
              <w:rPr>
                <w:rFonts w:hint="default"/>
              </w:rPr>
            </w:pPr>
          </w:p>
        </w:tc>
      </w:tr>
      <w:tr w14:paraId="60CE6162">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rPr>
          <w:jc w:val="center"/>
        </w:trPr>
        <w:tc>
          <w:tcPr>
            <w:tcW w:w="430" w:type="dxa"/>
            <w:tcBorders>
              <w:top w:val="single" w:color="auto" w:sz="4" w:space="0"/>
              <w:left w:val="single" w:color="auto" w:sz="4" w:space="0"/>
              <w:bottom w:val="single" w:color="auto" w:sz="4" w:space="0"/>
              <w:right w:val="single" w:color="auto" w:sz="4" w:space="0"/>
            </w:tcBorders>
            <w:tcMar>
              <w:top w:w="0" w:type="dxa"/>
              <w:left w:w="105" w:type="dxa"/>
              <w:bottom w:w="0" w:type="dxa"/>
              <w:right w:w="105" w:type="dxa"/>
            </w:tcMar>
          </w:tcPr>
          <w:p w14:paraId="49844836">
            <w:pPr>
              <w:pStyle w:val="7"/>
              <w:jc w:val="center"/>
              <w:rPr>
                <w:rFonts w:hint="default"/>
                <w:lang w:eastAsia="zh-CN"/>
              </w:rPr>
            </w:pPr>
            <w:r>
              <w:rPr>
                <w:lang w:eastAsia="zh-CN"/>
              </w:rPr>
              <w:t>2</w:t>
            </w:r>
            <w:r>
              <w:rPr>
                <w:rFonts w:hint="default"/>
                <w:lang w:eastAsia="zh-CN"/>
              </w:rPr>
              <w:t>0</w:t>
            </w:r>
          </w:p>
        </w:tc>
        <w:tc>
          <w:tcPr>
            <w:tcW w:w="2259" w:type="dxa"/>
            <w:tcBorders>
              <w:top w:val="single" w:color="auto" w:sz="4" w:space="0"/>
              <w:left w:val="single" w:color="auto" w:sz="4" w:space="0"/>
              <w:bottom w:val="single" w:color="auto" w:sz="4" w:space="0"/>
              <w:right w:val="single" w:color="auto" w:sz="4" w:space="0"/>
            </w:tcBorders>
            <w:tcMar>
              <w:top w:w="0" w:type="dxa"/>
              <w:left w:w="105" w:type="dxa"/>
              <w:bottom w:w="0" w:type="dxa"/>
              <w:right w:w="105" w:type="dxa"/>
            </w:tcMar>
            <w:vAlign w:val="center"/>
          </w:tcPr>
          <w:p w14:paraId="204EB8A8">
            <w:pPr>
              <w:jc w:val="center"/>
              <w:rPr>
                <w:rFonts w:ascii="宋体" w:hAnsi="宋体" w:cs="宋体"/>
                <w:kern w:val="0"/>
                <w:szCs w:val="21"/>
              </w:rPr>
            </w:pPr>
            <w:r>
              <w:rPr>
                <w:rFonts w:hint="eastAsia" w:ascii="宋体" w:hAnsi="宋体" w:cs="宋体"/>
                <w:kern w:val="0"/>
                <w:szCs w:val="21"/>
              </w:rPr>
              <w:t>混合气CO</w:t>
            </w:r>
            <w:r>
              <w:rPr>
                <w:rFonts w:hint="eastAsia" w:ascii="宋体" w:hAnsi="宋体" w:cs="宋体"/>
                <w:kern w:val="0"/>
                <w:szCs w:val="21"/>
                <w:vertAlign w:val="subscript"/>
              </w:rPr>
              <w:t>2</w:t>
            </w:r>
            <w:r>
              <w:rPr>
                <w:rFonts w:hint="eastAsia" w:ascii="宋体" w:hAnsi="宋体" w:cs="宋体"/>
                <w:kern w:val="0"/>
                <w:szCs w:val="21"/>
              </w:rPr>
              <w:t>:5%＋O</w:t>
            </w:r>
            <w:r>
              <w:rPr>
                <w:rFonts w:hint="eastAsia" w:ascii="宋体" w:hAnsi="宋体" w:cs="宋体"/>
                <w:kern w:val="0"/>
                <w:szCs w:val="21"/>
                <w:vertAlign w:val="subscript"/>
              </w:rPr>
              <w:t>2</w:t>
            </w:r>
            <w:r>
              <w:rPr>
                <w:rFonts w:hint="eastAsia" w:ascii="宋体" w:hAnsi="宋体" w:cs="宋体"/>
                <w:kern w:val="0"/>
                <w:szCs w:val="21"/>
              </w:rPr>
              <w:t>:20%＋N</w:t>
            </w:r>
            <w:r>
              <w:rPr>
                <w:rFonts w:hint="eastAsia" w:ascii="宋体" w:hAnsi="宋体" w:cs="宋体"/>
                <w:kern w:val="0"/>
                <w:szCs w:val="21"/>
                <w:vertAlign w:val="subscript"/>
              </w:rPr>
              <w:t>2</w:t>
            </w:r>
            <w:r>
              <w:rPr>
                <w:rFonts w:hint="eastAsia" w:ascii="宋体" w:hAnsi="宋体" w:cs="宋体"/>
                <w:kern w:val="0"/>
                <w:szCs w:val="21"/>
              </w:rPr>
              <w:t>:75%</w:t>
            </w:r>
          </w:p>
        </w:tc>
        <w:tc>
          <w:tcPr>
            <w:tcW w:w="1134" w:type="dxa"/>
            <w:tcBorders>
              <w:top w:val="single" w:color="auto" w:sz="4" w:space="0"/>
              <w:left w:val="single" w:color="auto" w:sz="4" w:space="0"/>
              <w:bottom w:val="single" w:color="auto" w:sz="4" w:space="0"/>
              <w:right w:val="single" w:color="auto" w:sz="4" w:space="0"/>
            </w:tcBorders>
            <w:tcMar>
              <w:top w:w="0" w:type="dxa"/>
              <w:left w:w="105" w:type="dxa"/>
              <w:bottom w:w="0" w:type="dxa"/>
              <w:right w:w="105" w:type="dxa"/>
            </w:tcMar>
          </w:tcPr>
          <w:p w14:paraId="13C08DB9">
            <w:pPr>
              <w:pStyle w:val="7"/>
              <w:jc w:val="center"/>
              <w:rPr>
                <w:rFonts w:hint="default"/>
              </w:rPr>
            </w:pPr>
            <w:r>
              <w:t>瓶</w:t>
            </w:r>
          </w:p>
        </w:tc>
        <w:tc>
          <w:tcPr>
            <w:tcW w:w="1275" w:type="dxa"/>
            <w:tcBorders>
              <w:top w:val="single" w:color="auto" w:sz="4" w:space="0"/>
              <w:left w:val="single" w:color="auto" w:sz="4" w:space="0"/>
              <w:bottom w:val="single" w:color="auto" w:sz="4" w:space="0"/>
              <w:right w:val="single" w:color="auto" w:sz="4" w:space="0"/>
            </w:tcBorders>
            <w:tcMar>
              <w:top w:w="0" w:type="dxa"/>
              <w:left w:w="105" w:type="dxa"/>
              <w:bottom w:w="0" w:type="dxa"/>
              <w:right w:w="105" w:type="dxa"/>
            </w:tcMar>
            <w:vAlign w:val="center"/>
          </w:tcPr>
          <w:p w14:paraId="6BCC1A96">
            <w:pPr>
              <w:jc w:val="center"/>
              <w:rPr>
                <w:rFonts w:ascii="宋体" w:hAnsi="宋体"/>
                <w:szCs w:val="21"/>
              </w:rPr>
            </w:pPr>
            <w:r>
              <w:rPr>
                <w:rFonts w:hint="eastAsia" w:ascii="宋体" w:hAnsi="宋体" w:cs="宋体"/>
                <w:kern w:val="0"/>
                <w:szCs w:val="21"/>
              </w:rPr>
              <w:t>40升</w:t>
            </w:r>
          </w:p>
        </w:tc>
        <w:tc>
          <w:tcPr>
            <w:tcW w:w="1134" w:type="dxa"/>
            <w:tcBorders>
              <w:top w:val="single" w:color="auto" w:sz="4" w:space="0"/>
              <w:left w:val="single" w:color="auto" w:sz="4" w:space="0"/>
              <w:bottom w:val="single" w:color="auto" w:sz="4" w:space="0"/>
              <w:right w:val="single" w:color="auto" w:sz="4" w:space="0"/>
            </w:tcBorders>
            <w:tcMar>
              <w:top w:w="0" w:type="dxa"/>
              <w:left w:w="105" w:type="dxa"/>
              <w:bottom w:w="0" w:type="dxa"/>
              <w:right w:w="105" w:type="dxa"/>
            </w:tcMar>
          </w:tcPr>
          <w:p w14:paraId="28C0E5D5">
            <w:pPr>
              <w:pStyle w:val="7"/>
              <w:jc w:val="center"/>
              <w:rPr>
                <w:rFonts w:hint="default"/>
              </w:rPr>
            </w:pPr>
            <w:r>
              <w:t>/</w:t>
            </w:r>
          </w:p>
        </w:tc>
        <w:tc>
          <w:tcPr>
            <w:tcW w:w="993" w:type="dxa"/>
            <w:tcBorders>
              <w:top w:val="single" w:color="auto" w:sz="4" w:space="0"/>
              <w:left w:val="single" w:color="auto" w:sz="4" w:space="0"/>
              <w:bottom w:val="single" w:color="auto" w:sz="4" w:space="0"/>
              <w:right w:val="single" w:color="auto" w:sz="4" w:space="0"/>
            </w:tcBorders>
            <w:tcMar>
              <w:top w:w="0" w:type="dxa"/>
              <w:left w:w="105" w:type="dxa"/>
              <w:bottom w:w="0" w:type="dxa"/>
              <w:right w:w="105" w:type="dxa"/>
            </w:tcMar>
          </w:tcPr>
          <w:p w14:paraId="3254BB43">
            <w:pPr>
              <w:pStyle w:val="7"/>
              <w:jc w:val="center"/>
              <w:rPr>
                <w:rFonts w:hint="default"/>
              </w:rPr>
            </w:pPr>
          </w:p>
        </w:tc>
        <w:tc>
          <w:tcPr>
            <w:tcW w:w="1071" w:type="dxa"/>
            <w:tcBorders>
              <w:top w:val="single" w:color="auto" w:sz="4" w:space="0"/>
              <w:left w:val="single" w:color="auto" w:sz="4" w:space="0"/>
              <w:bottom w:val="single" w:color="auto" w:sz="4" w:space="0"/>
              <w:right w:val="single" w:color="auto" w:sz="4" w:space="0"/>
            </w:tcBorders>
            <w:tcMar>
              <w:top w:w="0" w:type="dxa"/>
              <w:left w:w="105" w:type="dxa"/>
              <w:bottom w:w="0" w:type="dxa"/>
              <w:right w:w="105" w:type="dxa"/>
            </w:tcMar>
          </w:tcPr>
          <w:p w14:paraId="5C45ECF6">
            <w:pPr>
              <w:pStyle w:val="7"/>
              <w:jc w:val="center"/>
              <w:rPr>
                <w:rFonts w:hint="default"/>
              </w:rPr>
            </w:pPr>
          </w:p>
        </w:tc>
      </w:tr>
      <w:tr w14:paraId="72AED441">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rPr>
          <w:jc w:val="center"/>
        </w:trPr>
        <w:tc>
          <w:tcPr>
            <w:tcW w:w="430" w:type="dxa"/>
            <w:tcBorders>
              <w:top w:val="single" w:color="auto" w:sz="4" w:space="0"/>
              <w:left w:val="single" w:color="auto" w:sz="4" w:space="0"/>
              <w:bottom w:val="single" w:color="auto" w:sz="4" w:space="0"/>
              <w:right w:val="single" w:color="auto" w:sz="4" w:space="0"/>
            </w:tcBorders>
            <w:tcMar>
              <w:top w:w="0" w:type="dxa"/>
              <w:left w:w="105" w:type="dxa"/>
              <w:bottom w:w="0" w:type="dxa"/>
              <w:right w:w="105" w:type="dxa"/>
            </w:tcMar>
          </w:tcPr>
          <w:p w14:paraId="089C4030">
            <w:pPr>
              <w:pStyle w:val="7"/>
              <w:jc w:val="center"/>
              <w:rPr>
                <w:rFonts w:hint="default"/>
                <w:lang w:eastAsia="zh-CN"/>
              </w:rPr>
            </w:pPr>
            <w:r>
              <w:rPr>
                <w:lang w:eastAsia="zh-CN"/>
              </w:rPr>
              <w:t>2</w:t>
            </w:r>
            <w:r>
              <w:rPr>
                <w:rFonts w:hint="default"/>
                <w:lang w:eastAsia="zh-CN"/>
              </w:rPr>
              <w:t>1</w:t>
            </w:r>
          </w:p>
        </w:tc>
        <w:tc>
          <w:tcPr>
            <w:tcW w:w="2259" w:type="dxa"/>
            <w:tcBorders>
              <w:top w:val="single" w:color="auto" w:sz="4" w:space="0"/>
              <w:left w:val="single" w:color="auto" w:sz="4" w:space="0"/>
              <w:bottom w:val="single" w:color="auto" w:sz="4" w:space="0"/>
              <w:right w:val="single" w:color="auto" w:sz="4" w:space="0"/>
            </w:tcBorders>
            <w:tcMar>
              <w:top w:w="0" w:type="dxa"/>
              <w:left w:w="105" w:type="dxa"/>
              <w:bottom w:w="0" w:type="dxa"/>
              <w:right w:w="105" w:type="dxa"/>
            </w:tcMar>
            <w:vAlign w:val="center"/>
          </w:tcPr>
          <w:p w14:paraId="20278BA8">
            <w:pPr>
              <w:jc w:val="center"/>
              <w:rPr>
                <w:rFonts w:ascii="宋体" w:hAnsi="宋体" w:cs="宋体"/>
                <w:kern w:val="0"/>
                <w:szCs w:val="21"/>
              </w:rPr>
            </w:pPr>
            <w:r>
              <w:rPr>
                <w:rFonts w:hint="eastAsia" w:ascii="宋体" w:hAnsi="宋体" w:cs="宋体"/>
                <w:kern w:val="0"/>
                <w:szCs w:val="21"/>
              </w:rPr>
              <w:t>混合气O</w:t>
            </w:r>
            <w:r>
              <w:rPr>
                <w:rFonts w:hint="eastAsia" w:ascii="宋体" w:hAnsi="宋体" w:cs="宋体"/>
                <w:kern w:val="0"/>
                <w:szCs w:val="21"/>
                <w:vertAlign w:val="subscript"/>
              </w:rPr>
              <w:t>2</w:t>
            </w:r>
            <w:r>
              <w:rPr>
                <w:rFonts w:hint="eastAsia" w:ascii="宋体" w:hAnsi="宋体" w:cs="宋体"/>
                <w:kern w:val="0"/>
                <w:szCs w:val="21"/>
              </w:rPr>
              <w:t>:16%＋CO</w:t>
            </w:r>
            <w:r>
              <w:rPr>
                <w:rFonts w:hint="eastAsia" w:ascii="宋体" w:hAnsi="宋体" w:cs="宋体"/>
                <w:kern w:val="0"/>
                <w:szCs w:val="21"/>
                <w:vertAlign w:val="subscript"/>
              </w:rPr>
              <w:t>2</w:t>
            </w:r>
            <w:r>
              <w:rPr>
                <w:rFonts w:hint="eastAsia" w:ascii="宋体" w:hAnsi="宋体" w:cs="宋体"/>
                <w:kern w:val="0"/>
                <w:szCs w:val="21"/>
              </w:rPr>
              <w:t>:4%＋N</w:t>
            </w:r>
            <w:r>
              <w:rPr>
                <w:rFonts w:hint="eastAsia" w:ascii="宋体" w:hAnsi="宋体" w:cs="宋体"/>
                <w:kern w:val="0"/>
                <w:szCs w:val="21"/>
                <w:vertAlign w:val="subscript"/>
              </w:rPr>
              <w:t>2</w:t>
            </w:r>
            <w:r>
              <w:rPr>
                <w:rFonts w:hint="eastAsia" w:ascii="宋体" w:hAnsi="宋体" w:cs="宋体"/>
                <w:kern w:val="0"/>
                <w:szCs w:val="21"/>
              </w:rPr>
              <w:t>平衡</w:t>
            </w:r>
          </w:p>
        </w:tc>
        <w:tc>
          <w:tcPr>
            <w:tcW w:w="1134" w:type="dxa"/>
            <w:tcBorders>
              <w:top w:val="single" w:color="auto" w:sz="4" w:space="0"/>
              <w:left w:val="single" w:color="auto" w:sz="4" w:space="0"/>
              <w:bottom w:val="single" w:color="auto" w:sz="4" w:space="0"/>
              <w:right w:val="single" w:color="auto" w:sz="4" w:space="0"/>
            </w:tcBorders>
            <w:tcMar>
              <w:top w:w="0" w:type="dxa"/>
              <w:left w:w="105" w:type="dxa"/>
              <w:bottom w:w="0" w:type="dxa"/>
              <w:right w:w="105" w:type="dxa"/>
            </w:tcMar>
          </w:tcPr>
          <w:p w14:paraId="3763309B">
            <w:pPr>
              <w:pStyle w:val="7"/>
              <w:jc w:val="center"/>
              <w:rPr>
                <w:rFonts w:hint="default"/>
              </w:rPr>
            </w:pPr>
            <w:r>
              <w:t>瓶</w:t>
            </w:r>
          </w:p>
        </w:tc>
        <w:tc>
          <w:tcPr>
            <w:tcW w:w="1275" w:type="dxa"/>
            <w:tcBorders>
              <w:top w:val="single" w:color="auto" w:sz="4" w:space="0"/>
              <w:left w:val="single" w:color="auto" w:sz="4" w:space="0"/>
              <w:bottom w:val="single" w:color="auto" w:sz="4" w:space="0"/>
              <w:right w:val="single" w:color="auto" w:sz="4" w:space="0"/>
            </w:tcBorders>
            <w:tcMar>
              <w:top w:w="0" w:type="dxa"/>
              <w:left w:w="105" w:type="dxa"/>
              <w:bottom w:w="0" w:type="dxa"/>
              <w:right w:w="105" w:type="dxa"/>
            </w:tcMar>
            <w:vAlign w:val="center"/>
          </w:tcPr>
          <w:p w14:paraId="62AC49F5">
            <w:pPr>
              <w:jc w:val="center"/>
              <w:rPr>
                <w:rFonts w:ascii="宋体" w:hAnsi="宋体"/>
                <w:szCs w:val="21"/>
              </w:rPr>
            </w:pPr>
            <w:r>
              <w:rPr>
                <w:rFonts w:hint="eastAsia" w:ascii="宋体" w:hAnsi="宋体" w:cs="宋体"/>
                <w:kern w:val="0"/>
                <w:szCs w:val="21"/>
              </w:rPr>
              <w:t>40升</w:t>
            </w:r>
          </w:p>
        </w:tc>
        <w:tc>
          <w:tcPr>
            <w:tcW w:w="1134" w:type="dxa"/>
            <w:tcBorders>
              <w:top w:val="single" w:color="auto" w:sz="4" w:space="0"/>
              <w:left w:val="single" w:color="auto" w:sz="4" w:space="0"/>
              <w:bottom w:val="single" w:color="auto" w:sz="4" w:space="0"/>
              <w:right w:val="single" w:color="auto" w:sz="4" w:space="0"/>
            </w:tcBorders>
            <w:tcMar>
              <w:top w:w="0" w:type="dxa"/>
              <w:left w:w="105" w:type="dxa"/>
              <w:bottom w:w="0" w:type="dxa"/>
              <w:right w:w="105" w:type="dxa"/>
            </w:tcMar>
          </w:tcPr>
          <w:p w14:paraId="255F5A70">
            <w:pPr>
              <w:pStyle w:val="7"/>
              <w:jc w:val="center"/>
              <w:rPr>
                <w:rFonts w:hint="default"/>
              </w:rPr>
            </w:pPr>
            <w:r>
              <w:t>/</w:t>
            </w:r>
          </w:p>
        </w:tc>
        <w:tc>
          <w:tcPr>
            <w:tcW w:w="993" w:type="dxa"/>
            <w:tcBorders>
              <w:top w:val="single" w:color="auto" w:sz="4" w:space="0"/>
              <w:left w:val="single" w:color="auto" w:sz="4" w:space="0"/>
              <w:bottom w:val="single" w:color="auto" w:sz="4" w:space="0"/>
              <w:right w:val="single" w:color="auto" w:sz="4" w:space="0"/>
            </w:tcBorders>
            <w:tcMar>
              <w:top w:w="0" w:type="dxa"/>
              <w:left w:w="105" w:type="dxa"/>
              <w:bottom w:w="0" w:type="dxa"/>
              <w:right w:w="105" w:type="dxa"/>
            </w:tcMar>
          </w:tcPr>
          <w:p w14:paraId="1B5EA18D">
            <w:pPr>
              <w:pStyle w:val="7"/>
              <w:jc w:val="center"/>
              <w:rPr>
                <w:rFonts w:hint="default"/>
              </w:rPr>
            </w:pPr>
          </w:p>
        </w:tc>
        <w:tc>
          <w:tcPr>
            <w:tcW w:w="1071" w:type="dxa"/>
            <w:tcBorders>
              <w:top w:val="single" w:color="auto" w:sz="4" w:space="0"/>
              <w:left w:val="single" w:color="auto" w:sz="4" w:space="0"/>
              <w:bottom w:val="single" w:color="auto" w:sz="4" w:space="0"/>
              <w:right w:val="single" w:color="auto" w:sz="4" w:space="0"/>
            </w:tcBorders>
            <w:tcMar>
              <w:top w:w="0" w:type="dxa"/>
              <w:left w:w="105" w:type="dxa"/>
              <w:bottom w:w="0" w:type="dxa"/>
              <w:right w:w="105" w:type="dxa"/>
            </w:tcMar>
          </w:tcPr>
          <w:p w14:paraId="7CF8ECE5">
            <w:pPr>
              <w:pStyle w:val="7"/>
              <w:jc w:val="center"/>
              <w:rPr>
                <w:rFonts w:hint="default"/>
              </w:rPr>
            </w:pPr>
          </w:p>
        </w:tc>
      </w:tr>
      <w:tr w14:paraId="6B8F29D5">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rPr>
          <w:jc w:val="center"/>
        </w:trPr>
        <w:tc>
          <w:tcPr>
            <w:tcW w:w="430" w:type="dxa"/>
            <w:tcBorders>
              <w:top w:val="single" w:color="auto" w:sz="4" w:space="0"/>
              <w:left w:val="single" w:color="auto" w:sz="4" w:space="0"/>
              <w:bottom w:val="single" w:color="auto" w:sz="4" w:space="0"/>
              <w:right w:val="single" w:color="auto" w:sz="4" w:space="0"/>
            </w:tcBorders>
            <w:tcMar>
              <w:top w:w="0" w:type="dxa"/>
              <w:left w:w="105" w:type="dxa"/>
              <w:bottom w:w="0" w:type="dxa"/>
              <w:right w:w="105" w:type="dxa"/>
            </w:tcMar>
          </w:tcPr>
          <w:p w14:paraId="7B903723">
            <w:pPr>
              <w:pStyle w:val="7"/>
              <w:jc w:val="center"/>
              <w:rPr>
                <w:rFonts w:hint="default"/>
                <w:lang w:eastAsia="zh-CN"/>
              </w:rPr>
            </w:pPr>
            <w:r>
              <w:rPr>
                <w:lang w:eastAsia="zh-CN"/>
              </w:rPr>
              <w:t>2</w:t>
            </w:r>
            <w:r>
              <w:rPr>
                <w:rFonts w:hint="default"/>
                <w:lang w:eastAsia="zh-CN"/>
              </w:rPr>
              <w:t>2</w:t>
            </w:r>
          </w:p>
        </w:tc>
        <w:tc>
          <w:tcPr>
            <w:tcW w:w="2259" w:type="dxa"/>
            <w:tcBorders>
              <w:top w:val="single" w:color="auto" w:sz="4" w:space="0"/>
              <w:left w:val="single" w:color="auto" w:sz="4" w:space="0"/>
              <w:bottom w:val="single" w:color="auto" w:sz="4" w:space="0"/>
              <w:right w:val="single" w:color="auto" w:sz="4" w:space="0"/>
            </w:tcBorders>
            <w:tcMar>
              <w:top w:w="0" w:type="dxa"/>
              <w:left w:w="105" w:type="dxa"/>
              <w:bottom w:w="0" w:type="dxa"/>
              <w:right w:w="105" w:type="dxa"/>
            </w:tcMar>
            <w:vAlign w:val="center"/>
          </w:tcPr>
          <w:p w14:paraId="293E6FD7">
            <w:pPr>
              <w:jc w:val="center"/>
              <w:rPr>
                <w:rFonts w:ascii="宋体" w:hAnsi="宋体" w:cs="宋体"/>
                <w:kern w:val="0"/>
                <w:szCs w:val="21"/>
              </w:rPr>
            </w:pPr>
            <w:r>
              <w:rPr>
                <w:rFonts w:hint="eastAsia" w:ascii="宋体" w:hAnsi="宋体" w:cs="宋体"/>
                <w:kern w:val="0"/>
                <w:szCs w:val="21"/>
              </w:rPr>
              <w:t>混合气He:14%,CO:0.3% ,O</w:t>
            </w:r>
            <w:r>
              <w:rPr>
                <w:rFonts w:hint="eastAsia" w:ascii="宋体" w:hAnsi="宋体" w:cs="宋体"/>
                <w:kern w:val="0"/>
                <w:szCs w:val="21"/>
                <w:vertAlign w:val="subscript"/>
              </w:rPr>
              <w:t>2</w:t>
            </w:r>
            <w:r>
              <w:rPr>
                <w:rFonts w:hint="eastAsia" w:ascii="宋体" w:hAnsi="宋体" w:cs="宋体"/>
                <w:kern w:val="0"/>
                <w:szCs w:val="21"/>
              </w:rPr>
              <w:t>:21%,N</w:t>
            </w:r>
            <w:r>
              <w:rPr>
                <w:rFonts w:hint="eastAsia" w:ascii="宋体" w:hAnsi="宋体" w:cs="宋体"/>
                <w:kern w:val="0"/>
                <w:szCs w:val="21"/>
                <w:vertAlign w:val="subscript"/>
              </w:rPr>
              <w:t>2</w:t>
            </w:r>
            <w:r>
              <w:rPr>
                <w:rFonts w:hint="eastAsia" w:ascii="宋体" w:hAnsi="宋体" w:cs="宋体"/>
                <w:kern w:val="0"/>
                <w:szCs w:val="21"/>
              </w:rPr>
              <w:t>平衡</w:t>
            </w:r>
          </w:p>
        </w:tc>
        <w:tc>
          <w:tcPr>
            <w:tcW w:w="1134" w:type="dxa"/>
            <w:tcBorders>
              <w:top w:val="single" w:color="auto" w:sz="4" w:space="0"/>
              <w:left w:val="single" w:color="auto" w:sz="4" w:space="0"/>
              <w:bottom w:val="single" w:color="auto" w:sz="4" w:space="0"/>
              <w:right w:val="single" w:color="auto" w:sz="4" w:space="0"/>
            </w:tcBorders>
            <w:tcMar>
              <w:top w:w="0" w:type="dxa"/>
              <w:left w:w="105" w:type="dxa"/>
              <w:bottom w:w="0" w:type="dxa"/>
              <w:right w:w="105" w:type="dxa"/>
            </w:tcMar>
          </w:tcPr>
          <w:p w14:paraId="38F8716B">
            <w:pPr>
              <w:pStyle w:val="7"/>
              <w:jc w:val="center"/>
              <w:rPr>
                <w:rFonts w:hint="default"/>
              </w:rPr>
            </w:pPr>
            <w:r>
              <w:t>瓶</w:t>
            </w:r>
          </w:p>
        </w:tc>
        <w:tc>
          <w:tcPr>
            <w:tcW w:w="1275" w:type="dxa"/>
            <w:tcBorders>
              <w:top w:val="single" w:color="auto" w:sz="4" w:space="0"/>
              <w:left w:val="single" w:color="auto" w:sz="4" w:space="0"/>
              <w:bottom w:val="single" w:color="auto" w:sz="4" w:space="0"/>
              <w:right w:val="single" w:color="auto" w:sz="4" w:space="0"/>
            </w:tcBorders>
            <w:tcMar>
              <w:top w:w="0" w:type="dxa"/>
              <w:left w:w="105" w:type="dxa"/>
              <w:bottom w:w="0" w:type="dxa"/>
              <w:right w:w="105" w:type="dxa"/>
            </w:tcMar>
            <w:vAlign w:val="center"/>
          </w:tcPr>
          <w:p w14:paraId="33D6C167">
            <w:pPr>
              <w:jc w:val="center"/>
              <w:rPr>
                <w:rFonts w:ascii="宋体" w:hAnsi="宋体" w:cs="宋体"/>
                <w:kern w:val="0"/>
                <w:szCs w:val="21"/>
              </w:rPr>
            </w:pPr>
            <w:r>
              <w:rPr>
                <w:rFonts w:hint="eastAsia" w:ascii="宋体" w:hAnsi="宋体" w:cs="宋体"/>
                <w:kern w:val="0"/>
                <w:szCs w:val="21"/>
              </w:rPr>
              <w:t>40L</w:t>
            </w:r>
          </w:p>
        </w:tc>
        <w:tc>
          <w:tcPr>
            <w:tcW w:w="1134" w:type="dxa"/>
            <w:tcBorders>
              <w:top w:val="single" w:color="auto" w:sz="4" w:space="0"/>
              <w:left w:val="single" w:color="auto" w:sz="4" w:space="0"/>
              <w:bottom w:val="single" w:color="auto" w:sz="4" w:space="0"/>
              <w:right w:val="single" w:color="auto" w:sz="4" w:space="0"/>
            </w:tcBorders>
            <w:tcMar>
              <w:top w:w="0" w:type="dxa"/>
              <w:left w:w="105" w:type="dxa"/>
              <w:bottom w:w="0" w:type="dxa"/>
              <w:right w:w="105" w:type="dxa"/>
            </w:tcMar>
          </w:tcPr>
          <w:p w14:paraId="4CF261E6">
            <w:pPr>
              <w:pStyle w:val="7"/>
              <w:jc w:val="center"/>
              <w:rPr>
                <w:rFonts w:hint="default"/>
              </w:rPr>
            </w:pPr>
            <w:r>
              <w:t>/</w:t>
            </w:r>
          </w:p>
        </w:tc>
        <w:tc>
          <w:tcPr>
            <w:tcW w:w="993" w:type="dxa"/>
            <w:tcBorders>
              <w:top w:val="single" w:color="auto" w:sz="4" w:space="0"/>
              <w:left w:val="single" w:color="auto" w:sz="4" w:space="0"/>
              <w:bottom w:val="single" w:color="auto" w:sz="4" w:space="0"/>
              <w:right w:val="single" w:color="auto" w:sz="4" w:space="0"/>
            </w:tcBorders>
            <w:tcMar>
              <w:top w:w="0" w:type="dxa"/>
              <w:left w:w="105" w:type="dxa"/>
              <w:bottom w:w="0" w:type="dxa"/>
              <w:right w:w="105" w:type="dxa"/>
            </w:tcMar>
          </w:tcPr>
          <w:p w14:paraId="204B266A">
            <w:pPr>
              <w:pStyle w:val="7"/>
              <w:jc w:val="center"/>
              <w:rPr>
                <w:rFonts w:hint="default"/>
              </w:rPr>
            </w:pPr>
          </w:p>
        </w:tc>
        <w:tc>
          <w:tcPr>
            <w:tcW w:w="1071" w:type="dxa"/>
            <w:tcBorders>
              <w:top w:val="single" w:color="auto" w:sz="4" w:space="0"/>
              <w:left w:val="single" w:color="auto" w:sz="4" w:space="0"/>
              <w:bottom w:val="single" w:color="auto" w:sz="4" w:space="0"/>
              <w:right w:val="single" w:color="auto" w:sz="4" w:space="0"/>
            </w:tcBorders>
            <w:tcMar>
              <w:top w:w="0" w:type="dxa"/>
              <w:left w:w="105" w:type="dxa"/>
              <w:bottom w:w="0" w:type="dxa"/>
              <w:right w:w="105" w:type="dxa"/>
            </w:tcMar>
          </w:tcPr>
          <w:p w14:paraId="1E0A15F5">
            <w:pPr>
              <w:pStyle w:val="7"/>
              <w:jc w:val="center"/>
              <w:rPr>
                <w:rFonts w:hint="default"/>
              </w:rPr>
            </w:pPr>
          </w:p>
        </w:tc>
      </w:tr>
      <w:tr w14:paraId="7278CCC4">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rPr>
          <w:jc w:val="center"/>
        </w:trPr>
        <w:tc>
          <w:tcPr>
            <w:tcW w:w="430" w:type="dxa"/>
            <w:tcBorders>
              <w:top w:val="single" w:color="auto" w:sz="4" w:space="0"/>
              <w:left w:val="single" w:color="auto" w:sz="4" w:space="0"/>
              <w:bottom w:val="single" w:color="auto" w:sz="4" w:space="0"/>
              <w:right w:val="single" w:color="auto" w:sz="4" w:space="0"/>
            </w:tcBorders>
            <w:tcMar>
              <w:top w:w="0" w:type="dxa"/>
              <w:left w:w="105" w:type="dxa"/>
              <w:bottom w:w="0" w:type="dxa"/>
              <w:right w:w="105" w:type="dxa"/>
            </w:tcMar>
          </w:tcPr>
          <w:p w14:paraId="5581FA0E">
            <w:pPr>
              <w:pStyle w:val="7"/>
              <w:jc w:val="center"/>
              <w:rPr>
                <w:rFonts w:hint="default"/>
                <w:lang w:eastAsia="zh-CN"/>
              </w:rPr>
            </w:pPr>
            <w:r>
              <w:rPr>
                <w:lang w:eastAsia="zh-CN"/>
              </w:rPr>
              <w:t>2</w:t>
            </w:r>
            <w:r>
              <w:rPr>
                <w:rFonts w:hint="default"/>
                <w:lang w:eastAsia="zh-CN"/>
              </w:rPr>
              <w:t>3</w:t>
            </w:r>
          </w:p>
        </w:tc>
        <w:tc>
          <w:tcPr>
            <w:tcW w:w="2259" w:type="dxa"/>
            <w:tcBorders>
              <w:top w:val="single" w:color="auto" w:sz="4" w:space="0"/>
              <w:left w:val="single" w:color="auto" w:sz="4" w:space="0"/>
              <w:bottom w:val="single" w:color="auto" w:sz="4" w:space="0"/>
              <w:right w:val="single" w:color="auto" w:sz="4" w:space="0"/>
            </w:tcBorders>
            <w:tcMar>
              <w:top w:w="0" w:type="dxa"/>
              <w:left w:w="105" w:type="dxa"/>
              <w:bottom w:w="0" w:type="dxa"/>
              <w:right w:w="105" w:type="dxa"/>
            </w:tcMar>
            <w:vAlign w:val="center"/>
          </w:tcPr>
          <w:p w14:paraId="03F86A37">
            <w:pPr>
              <w:jc w:val="center"/>
              <w:rPr>
                <w:rFonts w:ascii="宋体" w:hAnsi="宋体" w:cs="宋体"/>
                <w:kern w:val="0"/>
                <w:szCs w:val="21"/>
              </w:rPr>
            </w:pPr>
            <w:r>
              <w:rPr>
                <w:rFonts w:hint="eastAsia" w:ascii="宋体" w:hAnsi="宋体" w:cs="宋体"/>
                <w:kern w:val="0"/>
                <w:szCs w:val="21"/>
              </w:rPr>
              <w:t>混合气He:14%,CO:0.3% ,O</w:t>
            </w:r>
            <w:r>
              <w:rPr>
                <w:rFonts w:hint="eastAsia" w:ascii="宋体" w:hAnsi="宋体" w:cs="宋体"/>
                <w:kern w:val="0"/>
                <w:szCs w:val="21"/>
                <w:vertAlign w:val="subscript"/>
              </w:rPr>
              <w:t>2</w:t>
            </w:r>
            <w:r>
              <w:rPr>
                <w:rFonts w:hint="eastAsia" w:ascii="宋体" w:hAnsi="宋体" w:cs="宋体"/>
                <w:kern w:val="0"/>
                <w:szCs w:val="21"/>
              </w:rPr>
              <w:t>:21%,N</w:t>
            </w:r>
            <w:r>
              <w:rPr>
                <w:rFonts w:hint="eastAsia" w:ascii="宋体" w:hAnsi="宋体" w:cs="宋体"/>
                <w:kern w:val="0"/>
                <w:szCs w:val="21"/>
                <w:vertAlign w:val="subscript"/>
              </w:rPr>
              <w:t>2</w:t>
            </w:r>
            <w:r>
              <w:rPr>
                <w:rFonts w:hint="eastAsia" w:ascii="宋体" w:hAnsi="宋体" w:cs="宋体"/>
                <w:kern w:val="0"/>
                <w:szCs w:val="21"/>
              </w:rPr>
              <w:t>平衡</w:t>
            </w:r>
          </w:p>
        </w:tc>
        <w:tc>
          <w:tcPr>
            <w:tcW w:w="1134" w:type="dxa"/>
            <w:tcBorders>
              <w:top w:val="single" w:color="auto" w:sz="4" w:space="0"/>
              <w:left w:val="single" w:color="auto" w:sz="4" w:space="0"/>
              <w:bottom w:val="single" w:color="auto" w:sz="4" w:space="0"/>
              <w:right w:val="single" w:color="auto" w:sz="4" w:space="0"/>
            </w:tcBorders>
            <w:tcMar>
              <w:top w:w="0" w:type="dxa"/>
              <w:left w:w="105" w:type="dxa"/>
              <w:bottom w:w="0" w:type="dxa"/>
              <w:right w:w="105" w:type="dxa"/>
            </w:tcMar>
          </w:tcPr>
          <w:p w14:paraId="383CC460">
            <w:pPr>
              <w:pStyle w:val="7"/>
              <w:jc w:val="center"/>
              <w:rPr>
                <w:rFonts w:hint="default"/>
              </w:rPr>
            </w:pPr>
            <w:r>
              <w:t>瓶</w:t>
            </w:r>
          </w:p>
        </w:tc>
        <w:tc>
          <w:tcPr>
            <w:tcW w:w="1275" w:type="dxa"/>
            <w:tcBorders>
              <w:top w:val="single" w:color="auto" w:sz="4" w:space="0"/>
              <w:left w:val="single" w:color="auto" w:sz="4" w:space="0"/>
              <w:bottom w:val="single" w:color="auto" w:sz="4" w:space="0"/>
              <w:right w:val="single" w:color="auto" w:sz="4" w:space="0"/>
            </w:tcBorders>
            <w:tcMar>
              <w:top w:w="0" w:type="dxa"/>
              <w:left w:w="105" w:type="dxa"/>
              <w:bottom w:w="0" w:type="dxa"/>
              <w:right w:w="105" w:type="dxa"/>
            </w:tcMar>
            <w:vAlign w:val="center"/>
          </w:tcPr>
          <w:p w14:paraId="6CB324BA">
            <w:pPr>
              <w:jc w:val="center"/>
              <w:rPr>
                <w:rFonts w:ascii="宋体" w:hAnsi="宋体" w:cs="宋体"/>
                <w:kern w:val="0"/>
                <w:szCs w:val="21"/>
              </w:rPr>
            </w:pPr>
            <w:r>
              <w:rPr>
                <w:rFonts w:hint="eastAsia" w:ascii="宋体" w:hAnsi="宋体" w:cs="宋体"/>
                <w:kern w:val="0"/>
                <w:szCs w:val="21"/>
              </w:rPr>
              <w:t>8L</w:t>
            </w:r>
          </w:p>
        </w:tc>
        <w:tc>
          <w:tcPr>
            <w:tcW w:w="1134" w:type="dxa"/>
            <w:tcBorders>
              <w:top w:val="single" w:color="auto" w:sz="4" w:space="0"/>
              <w:left w:val="single" w:color="auto" w:sz="4" w:space="0"/>
              <w:bottom w:val="single" w:color="auto" w:sz="4" w:space="0"/>
              <w:right w:val="single" w:color="auto" w:sz="4" w:space="0"/>
            </w:tcBorders>
            <w:tcMar>
              <w:top w:w="0" w:type="dxa"/>
              <w:left w:w="105" w:type="dxa"/>
              <w:bottom w:w="0" w:type="dxa"/>
              <w:right w:w="105" w:type="dxa"/>
            </w:tcMar>
          </w:tcPr>
          <w:p w14:paraId="43E037D4">
            <w:pPr>
              <w:pStyle w:val="7"/>
              <w:jc w:val="center"/>
              <w:rPr>
                <w:rFonts w:hint="default"/>
              </w:rPr>
            </w:pPr>
            <w:r>
              <w:t>/</w:t>
            </w:r>
          </w:p>
        </w:tc>
        <w:tc>
          <w:tcPr>
            <w:tcW w:w="993" w:type="dxa"/>
            <w:tcBorders>
              <w:top w:val="single" w:color="auto" w:sz="4" w:space="0"/>
              <w:left w:val="single" w:color="auto" w:sz="4" w:space="0"/>
              <w:bottom w:val="single" w:color="auto" w:sz="4" w:space="0"/>
              <w:right w:val="single" w:color="auto" w:sz="4" w:space="0"/>
            </w:tcBorders>
            <w:tcMar>
              <w:top w:w="0" w:type="dxa"/>
              <w:left w:w="105" w:type="dxa"/>
              <w:bottom w:w="0" w:type="dxa"/>
              <w:right w:w="105" w:type="dxa"/>
            </w:tcMar>
          </w:tcPr>
          <w:p w14:paraId="0048A9F9">
            <w:pPr>
              <w:pStyle w:val="7"/>
              <w:jc w:val="center"/>
              <w:rPr>
                <w:rFonts w:hint="default"/>
              </w:rPr>
            </w:pPr>
          </w:p>
        </w:tc>
        <w:tc>
          <w:tcPr>
            <w:tcW w:w="1071" w:type="dxa"/>
            <w:tcBorders>
              <w:top w:val="single" w:color="auto" w:sz="4" w:space="0"/>
              <w:left w:val="single" w:color="auto" w:sz="4" w:space="0"/>
              <w:bottom w:val="single" w:color="auto" w:sz="4" w:space="0"/>
              <w:right w:val="single" w:color="auto" w:sz="4" w:space="0"/>
            </w:tcBorders>
            <w:tcMar>
              <w:top w:w="0" w:type="dxa"/>
              <w:left w:w="105" w:type="dxa"/>
              <w:bottom w:w="0" w:type="dxa"/>
              <w:right w:w="105" w:type="dxa"/>
            </w:tcMar>
          </w:tcPr>
          <w:p w14:paraId="77516308">
            <w:pPr>
              <w:pStyle w:val="7"/>
              <w:jc w:val="center"/>
              <w:rPr>
                <w:rFonts w:hint="default"/>
              </w:rPr>
            </w:pPr>
          </w:p>
        </w:tc>
      </w:tr>
      <w:tr w14:paraId="14E0C38A">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rPr>
          <w:jc w:val="center"/>
        </w:trPr>
        <w:tc>
          <w:tcPr>
            <w:tcW w:w="430" w:type="dxa"/>
            <w:tcBorders>
              <w:top w:val="single" w:color="auto" w:sz="4" w:space="0"/>
              <w:left w:val="single" w:color="auto" w:sz="4" w:space="0"/>
              <w:bottom w:val="single" w:color="auto" w:sz="4" w:space="0"/>
              <w:right w:val="single" w:color="auto" w:sz="4" w:space="0"/>
            </w:tcBorders>
            <w:tcMar>
              <w:top w:w="0" w:type="dxa"/>
              <w:left w:w="105" w:type="dxa"/>
              <w:bottom w:w="0" w:type="dxa"/>
              <w:right w:w="105" w:type="dxa"/>
            </w:tcMar>
          </w:tcPr>
          <w:p w14:paraId="43F28E88">
            <w:pPr>
              <w:pStyle w:val="7"/>
              <w:jc w:val="center"/>
              <w:rPr>
                <w:rFonts w:hint="default"/>
                <w:lang w:eastAsia="zh-CN"/>
              </w:rPr>
            </w:pPr>
            <w:r>
              <w:rPr>
                <w:lang w:eastAsia="zh-CN"/>
              </w:rPr>
              <w:t>2</w:t>
            </w:r>
            <w:r>
              <w:rPr>
                <w:rFonts w:hint="default"/>
                <w:lang w:eastAsia="zh-CN"/>
              </w:rPr>
              <w:t>4</w:t>
            </w:r>
          </w:p>
        </w:tc>
        <w:tc>
          <w:tcPr>
            <w:tcW w:w="2259" w:type="dxa"/>
            <w:tcBorders>
              <w:top w:val="single" w:color="auto" w:sz="4" w:space="0"/>
              <w:left w:val="single" w:color="auto" w:sz="4" w:space="0"/>
              <w:bottom w:val="single" w:color="auto" w:sz="4" w:space="0"/>
              <w:right w:val="single" w:color="auto" w:sz="4" w:space="0"/>
            </w:tcBorders>
            <w:tcMar>
              <w:top w:w="0" w:type="dxa"/>
              <w:left w:w="105" w:type="dxa"/>
              <w:bottom w:w="0" w:type="dxa"/>
              <w:right w:w="105" w:type="dxa"/>
            </w:tcMar>
            <w:vAlign w:val="center"/>
          </w:tcPr>
          <w:p w14:paraId="3015B5D2">
            <w:pPr>
              <w:jc w:val="center"/>
              <w:rPr>
                <w:rFonts w:ascii="宋体" w:hAnsi="宋体" w:cs="宋体"/>
                <w:kern w:val="0"/>
                <w:szCs w:val="21"/>
              </w:rPr>
            </w:pPr>
            <w:r>
              <w:rPr>
                <w:rFonts w:hint="eastAsia" w:ascii="宋体" w:hAnsi="宋体" w:cs="宋体"/>
                <w:kern w:val="0"/>
                <w:szCs w:val="21"/>
              </w:rPr>
              <w:t>混合气CH</w:t>
            </w:r>
            <w:r>
              <w:rPr>
                <w:rFonts w:hint="eastAsia" w:ascii="宋体" w:hAnsi="宋体" w:cs="宋体"/>
                <w:kern w:val="0"/>
                <w:szCs w:val="21"/>
                <w:vertAlign w:val="subscript"/>
              </w:rPr>
              <w:t>4</w:t>
            </w:r>
            <w:r>
              <w:rPr>
                <w:rFonts w:hint="eastAsia" w:ascii="宋体" w:hAnsi="宋体" w:cs="宋体"/>
                <w:kern w:val="0"/>
                <w:szCs w:val="21"/>
              </w:rPr>
              <w:t>:0.3%,CO:0.3%,O</w:t>
            </w:r>
            <w:r>
              <w:rPr>
                <w:rFonts w:hint="eastAsia" w:ascii="宋体" w:hAnsi="宋体" w:cs="宋体"/>
                <w:kern w:val="0"/>
                <w:szCs w:val="21"/>
                <w:vertAlign w:val="subscript"/>
              </w:rPr>
              <w:t>2</w:t>
            </w:r>
            <w:r>
              <w:rPr>
                <w:rFonts w:hint="eastAsia" w:ascii="宋体" w:hAnsi="宋体" w:cs="宋体"/>
                <w:kern w:val="0"/>
                <w:szCs w:val="21"/>
              </w:rPr>
              <w:t>:21%, N</w:t>
            </w:r>
            <w:r>
              <w:rPr>
                <w:rFonts w:hint="eastAsia" w:ascii="宋体" w:hAnsi="宋体" w:cs="宋体"/>
                <w:kern w:val="0"/>
                <w:szCs w:val="21"/>
                <w:vertAlign w:val="subscript"/>
              </w:rPr>
              <w:t>2</w:t>
            </w:r>
            <w:r>
              <w:rPr>
                <w:rFonts w:hint="eastAsia" w:ascii="宋体" w:hAnsi="宋体" w:cs="宋体"/>
                <w:kern w:val="0"/>
                <w:szCs w:val="21"/>
              </w:rPr>
              <w:t>平衡</w:t>
            </w:r>
          </w:p>
        </w:tc>
        <w:tc>
          <w:tcPr>
            <w:tcW w:w="1134" w:type="dxa"/>
            <w:tcBorders>
              <w:top w:val="single" w:color="auto" w:sz="4" w:space="0"/>
              <w:left w:val="single" w:color="auto" w:sz="4" w:space="0"/>
              <w:bottom w:val="single" w:color="auto" w:sz="4" w:space="0"/>
              <w:right w:val="single" w:color="auto" w:sz="4" w:space="0"/>
            </w:tcBorders>
            <w:tcMar>
              <w:top w:w="0" w:type="dxa"/>
              <w:left w:w="105" w:type="dxa"/>
              <w:bottom w:w="0" w:type="dxa"/>
              <w:right w:w="105" w:type="dxa"/>
            </w:tcMar>
          </w:tcPr>
          <w:p w14:paraId="307932AB">
            <w:pPr>
              <w:pStyle w:val="7"/>
              <w:jc w:val="center"/>
              <w:rPr>
                <w:rFonts w:hint="default"/>
              </w:rPr>
            </w:pPr>
            <w:r>
              <w:t>瓶</w:t>
            </w:r>
          </w:p>
        </w:tc>
        <w:tc>
          <w:tcPr>
            <w:tcW w:w="1275" w:type="dxa"/>
            <w:tcBorders>
              <w:top w:val="single" w:color="auto" w:sz="4" w:space="0"/>
              <w:left w:val="single" w:color="auto" w:sz="4" w:space="0"/>
              <w:bottom w:val="single" w:color="auto" w:sz="4" w:space="0"/>
              <w:right w:val="single" w:color="auto" w:sz="4" w:space="0"/>
            </w:tcBorders>
            <w:tcMar>
              <w:top w:w="0" w:type="dxa"/>
              <w:left w:w="105" w:type="dxa"/>
              <w:bottom w:w="0" w:type="dxa"/>
              <w:right w:w="105" w:type="dxa"/>
            </w:tcMar>
            <w:vAlign w:val="center"/>
          </w:tcPr>
          <w:p w14:paraId="7610E8C7">
            <w:pPr>
              <w:jc w:val="center"/>
              <w:rPr>
                <w:rFonts w:ascii="宋体" w:hAnsi="宋体" w:cs="宋体"/>
                <w:kern w:val="0"/>
                <w:szCs w:val="21"/>
              </w:rPr>
            </w:pPr>
          </w:p>
          <w:p w14:paraId="74DD04A5">
            <w:pPr>
              <w:jc w:val="center"/>
              <w:rPr>
                <w:rFonts w:ascii="宋体" w:hAnsi="宋体" w:cs="宋体"/>
                <w:kern w:val="0"/>
                <w:szCs w:val="21"/>
              </w:rPr>
            </w:pPr>
            <w:r>
              <w:rPr>
                <w:rFonts w:hint="eastAsia" w:ascii="宋体" w:hAnsi="宋体" w:cs="宋体"/>
                <w:kern w:val="0"/>
                <w:szCs w:val="21"/>
              </w:rPr>
              <w:t>10L</w:t>
            </w:r>
          </w:p>
        </w:tc>
        <w:tc>
          <w:tcPr>
            <w:tcW w:w="1134" w:type="dxa"/>
            <w:tcBorders>
              <w:top w:val="single" w:color="auto" w:sz="4" w:space="0"/>
              <w:left w:val="single" w:color="auto" w:sz="4" w:space="0"/>
              <w:bottom w:val="single" w:color="auto" w:sz="4" w:space="0"/>
              <w:right w:val="single" w:color="auto" w:sz="4" w:space="0"/>
            </w:tcBorders>
            <w:tcMar>
              <w:top w:w="0" w:type="dxa"/>
              <w:left w:w="105" w:type="dxa"/>
              <w:bottom w:w="0" w:type="dxa"/>
              <w:right w:w="105" w:type="dxa"/>
            </w:tcMar>
          </w:tcPr>
          <w:p w14:paraId="4E3A59A8">
            <w:pPr>
              <w:pStyle w:val="7"/>
              <w:jc w:val="center"/>
              <w:rPr>
                <w:rFonts w:hint="default"/>
              </w:rPr>
            </w:pPr>
            <w:r>
              <w:t>/</w:t>
            </w:r>
          </w:p>
        </w:tc>
        <w:tc>
          <w:tcPr>
            <w:tcW w:w="993" w:type="dxa"/>
            <w:tcBorders>
              <w:top w:val="single" w:color="auto" w:sz="4" w:space="0"/>
              <w:left w:val="single" w:color="auto" w:sz="4" w:space="0"/>
              <w:bottom w:val="single" w:color="auto" w:sz="4" w:space="0"/>
              <w:right w:val="single" w:color="auto" w:sz="4" w:space="0"/>
            </w:tcBorders>
            <w:tcMar>
              <w:top w:w="0" w:type="dxa"/>
              <w:left w:w="105" w:type="dxa"/>
              <w:bottom w:w="0" w:type="dxa"/>
              <w:right w:w="105" w:type="dxa"/>
            </w:tcMar>
          </w:tcPr>
          <w:p w14:paraId="4031A6E8">
            <w:pPr>
              <w:pStyle w:val="7"/>
              <w:jc w:val="center"/>
              <w:rPr>
                <w:rFonts w:hint="default"/>
              </w:rPr>
            </w:pPr>
          </w:p>
        </w:tc>
        <w:tc>
          <w:tcPr>
            <w:tcW w:w="1071" w:type="dxa"/>
            <w:tcBorders>
              <w:top w:val="single" w:color="auto" w:sz="4" w:space="0"/>
              <w:left w:val="single" w:color="auto" w:sz="4" w:space="0"/>
              <w:bottom w:val="single" w:color="auto" w:sz="4" w:space="0"/>
              <w:right w:val="single" w:color="auto" w:sz="4" w:space="0"/>
            </w:tcBorders>
            <w:tcMar>
              <w:top w:w="0" w:type="dxa"/>
              <w:left w:w="105" w:type="dxa"/>
              <w:bottom w:w="0" w:type="dxa"/>
              <w:right w:w="105" w:type="dxa"/>
            </w:tcMar>
          </w:tcPr>
          <w:p w14:paraId="65EA87BB">
            <w:pPr>
              <w:pStyle w:val="7"/>
              <w:jc w:val="center"/>
              <w:rPr>
                <w:rFonts w:hint="default"/>
              </w:rPr>
            </w:pPr>
          </w:p>
        </w:tc>
      </w:tr>
      <w:tr w14:paraId="0D8276DD">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rPr>
          <w:jc w:val="center"/>
        </w:trPr>
        <w:tc>
          <w:tcPr>
            <w:tcW w:w="430" w:type="dxa"/>
            <w:tcBorders>
              <w:top w:val="single" w:color="auto" w:sz="4" w:space="0"/>
              <w:left w:val="single" w:color="auto" w:sz="4" w:space="0"/>
              <w:bottom w:val="single" w:color="auto" w:sz="4" w:space="0"/>
              <w:right w:val="single" w:color="auto" w:sz="4" w:space="0"/>
            </w:tcBorders>
            <w:tcMar>
              <w:top w:w="0" w:type="dxa"/>
              <w:left w:w="105" w:type="dxa"/>
              <w:bottom w:w="0" w:type="dxa"/>
              <w:right w:w="105" w:type="dxa"/>
            </w:tcMar>
          </w:tcPr>
          <w:p w14:paraId="3A148F3F">
            <w:pPr>
              <w:pStyle w:val="7"/>
              <w:jc w:val="center"/>
              <w:rPr>
                <w:rFonts w:hint="default"/>
                <w:lang w:eastAsia="zh-CN"/>
              </w:rPr>
            </w:pPr>
            <w:r>
              <w:rPr>
                <w:lang w:eastAsia="zh-CN"/>
              </w:rPr>
              <w:t>2</w:t>
            </w:r>
            <w:r>
              <w:rPr>
                <w:rFonts w:hint="default"/>
                <w:lang w:eastAsia="zh-CN"/>
              </w:rPr>
              <w:t>5</w:t>
            </w:r>
          </w:p>
        </w:tc>
        <w:tc>
          <w:tcPr>
            <w:tcW w:w="2259" w:type="dxa"/>
            <w:tcBorders>
              <w:top w:val="single" w:color="auto" w:sz="4" w:space="0"/>
              <w:left w:val="single" w:color="auto" w:sz="4" w:space="0"/>
              <w:bottom w:val="single" w:color="auto" w:sz="4" w:space="0"/>
              <w:right w:val="single" w:color="auto" w:sz="4" w:space="0"/>
            </w:tcBorders>
            <w:tcMar>
              <w:top w:w="0" w:type="dxa"/>
              <w:left w:w="105" w:type="dxa"/>
              <w:bottom w:w="0" w:type="dxa"/>
              <w:right w:w="105" w:type="dxa"/>
            </w:tcMar>
            <w:vAlign w:val="center"/>
          </w:tcPr>
          <w:p w14:paraId="0705DA76">
            <w:pPr>
              <w:jc w:val="center"/>
              <w:rPr>
                <w:rFonts w:ascii="宋体" w:hAnsi="宋体" w:cs="宋体"/>
                <w:kern w:val="0"/>
                <w:szCs w:val="21"/>
              </w:rPr>
            </w:pPr>
            <w:r>
              <w:rPr>
                <w:rFonts w:hint="eastAsia" w:ascii="宋体" w:hAnsi="宋体" w:cs="宋体"/>
                <w:kern w:val="0"/>
                <w:szCs w:val="21"/>
              </w:rPr>
              <w:t>混合气CH</w:t>
            </w:r>
            <w:r>
              <w:rPr>
                <w:rFonts w:hint="eastAsia" w:ascii="宋体" w:hAnsi="宋体" w:cs="宋体"/>
                <w:kern w:val="0"/>
                <w:szCs w:val="21"/>
                <w:vertAlign w:val="subscript"/>
              </w:rPr>
              <w:t>4</w:t>
            </w:r>
            <w:r>
              <w:rPr>
                <w:rFonts w:hint="eastAsia" w:ascii="宋体" w:hAnsi="宋体" w:cs="宋体"/>
                <w:kern w:val="0"/>
                <w:szCs w:val="21"/>
              </w:rPr>
              <w:t>:0.3%,C</w:t>
            </w:r>
            <w:r>
              <w:rPr>
                <w:rFonts w:hint="eastAsia" w:ascii="宋体" w:hAnsi="宋体" w:cs="宋体"/>
                <w:kern w:val="0"/>
                <w:szCs w:val="21"/>
                <w:vertAlign w:val="subscript"/>
              </w:rPr>
              <w:t>2</w:t>
            </w:r>
            <w:r>
              <w:rPr>
                <w:rFonts w:hint="eastAsia" w:ascii="宋体" w:hAnsi="宋体" w:cs="宋体"/>
                <w:kern w:val="0"/>
                <w:szCs w:val="21"/>
              </w:rPr>
              <w:t>H</w:t>
            </w:r>
            <w:r>
              <w:rPr>
                <w:rFonts w:hint="eastAsia" w:ascii="宋体" w:hAnsi="宋体" w:cs="宋体"/>
                <w:kern w:val="0"/>
                <w:szCs w:val="21"/>
                <w:vertAlign w:val="subscript"/>
              </w:rPr>
              <w:t>2</w:t>
            </w:r>
            <w:r>
              <w:rPr>
                <w:rFonts w:hint="eastAsia" w:ascii="宋体" w:hAnsi="宋体" w:cs="宋体"/>
                <w:kern w:val="0"/>
                <w:szCs w:val="21"/>
              </w:rPr>
              <w:t>:0.3%,CO:0.3%,O</w:t>
            </w:r>
            <w:r>
              <w:rPr>
                <w:rFonts w:hint="eastAsia" w:ascii="宋体" w:hAnsi="宋体" w:cs="宋体"/>
                <w:kern w:val="0"/>
                <w:szCs w:val="21"/>
                <w:vertAlign w:val="subscript"/>
              </w:rPr>
              <w:t>2</w:t>
            </w:r>
            <w:r>
              <w:rPr>
                <w:rFonts w:hint="eastAsia" w:ascii="宋体" w:hAnsi="宋体" w:cs="宋体"/>
                <w:kern w:val="0"/>
                <w:szCs w:val="21"/>
              </w:rPr>
              <w:t>:21%, N</w:t>
            </w:r>
            <w:r>
              <w:rPr>
                <w:rFonts w:hint="eastAsia" w:ascii="宋体" w:hAnsi="宋体" w:cs="宋体"/>
                <w:kern w:val="0"/>
                <w:szCs w:val="21"/>
                <w:vertAlign w:val="subscript"/>
              </w:rPr>
              <w:t>2</w:t>
            </w:r>
            <w:r>
              <w:rPr>
                <w:rFonts w:hint="eastAsia" w:ascii="宋体" w:hAnsi="宋体" w:cs="宋体"/>
                <w:kern w:val="0"/>
                <w:szCs w:val="21"/>
              </w:rPr>
              <w:t>平衡</w:t>
            </w:r>
          </w:p>
        </w:tc>
        <w:tc>
          <w:tcPr>
            <w:tcW w:w="1134" w:type="dxa"/>
            <w:tcBorders>
              <w:top w:val="single" w:color="auto" w:sz="4" w:space="0"/>
              <w:left w:val="single" w:color="auto" w:sz="4" w:space="0"/>
              <w:bottom w:val="single" w:color="auto" w:sz="4" w:space="0"/>
              <w:right w:val="single" w:color="auto" w:sz="4" w:space="0"/>
            </w:tcBorders>
            <w:tcMar>
              <w:top w:w="0" w:type="dxa"/>
              <w:left w:w="105" w:type="dxa"/>
              <w:bottom w:w="0" w:type="dxa"/>
              <w:right w:w="105" w:type="dxa"/>
            </w:tcMar>
          </w:tcPr>
          <w:p w14:paraId="4A3B8BFE">
            <w:pPr>
              <w:jc w:val="center"/>
            </w:pPr>
            <w:r>
              <w:rPr>
                <w:sz w:val="20"/>
              </w:rPr>
              <w:t>瓶</w:t>
            </w:r>
          </w:p>
        </w:tc>
        <w:tc>
          <w:tcPr>
            <w:tcW w:w="1275" w:type="dxa"/>
            <w:tcBorders>
              <w:top w:val="single" w:color="auto" w:sz="4" w:space="0"/>
              <w:left w:val="single" w:color="auto" w:sz="4" w:space="0"/>
              <w:bottom w:val="single" w:color="auto" w:sz="4" w:space="0"/>
              <w:right w:val="single" w:color="auto" w:sz="4" w:space="0"/>
            </w:tcBorders>
            <w:tcMar>
              <w:top w:w="0" w:type="dxa"/>
              <w:left w:w="105" w:type="dxa"/>
              <w:bottom w:w="0" w:type="dxa"/>
              <w:right w:w="105" w:type="dxa"/>
            </w:tcMar>
            <w:vAlign w:val="center"/>
          </w:tcPr>
          <w:p w14:paraId="38141DE4">
            <w:pPr>
              <w:jc w:val="center"/>
              <w:rPr>
                <w:rFonts w:ascii="宋体" w:hAnsi="宋体" w:cs="宋体"/>
                <w:kern w:val="0"/>
                <w:szCs w:val="21"/>
              </w:rPr>
            </w:pPr>
            <w:r>
              <w:rPr>
                <w:rFonts w:hint="eastAsia" w:ascii="宋体" w:hAnsi="宋体" w:cs="宋体"/>
                <w:kern w:val="0"/>
                <w:szCs w:val="21"/>
              </w:rPr>
              <w:t>10L</w:t>
            </w:r>
          </w:p>
        </w:tc>
        <w:tc>
          <w:tcPr>
            <w:tcW w:w="1134" w:type="dxa"/>
            <w:tcBorders>
              <w:top w:val="single" w:color="auto" w:sz="4" w:space="0"/>
              <w:left w:val="single" w:color="auto" w:sz="4" w:space="0"/>
              <w:bottom w:val="single" w:color="auto" w:sz="4" w:space="0"/>
              <w:right w:val="single" w:color="auto" w:sz="4" w:space="0"/>
            </w:tcBorders>
            <w:tcMar>
              <w:top w:w="0" w:type="dxa"/>
              <w:left w:w="105" w:type="dxa"/>
              <w:bottom w:w="0" w:type="dxa"/>
              <w:right w:w="105" w:type="dxa"/>
            </w:tcMar>
          </w:tcPr>
          <w:p w14:paraId="35C7CFAE">
            <w:pPr>
              <w:pStyle w:val="7"/>
              <w:jc w:val="center"/>
              <w:rPr>
                <w:rFonts w:hint="default"/>
              </w:rPr>
            </w:pPr>
            <w:r>
              <w:t>/</w:t>
            </w:r>
          </w:p>
        </w:tc>
        <w:tc>
          <w:tcPr>
            <w:tcW w:w="993" w:type="dxa"/>
            <w:tcBorders>
              <w:top w:val="single" w:color="auto" w:sz="4" w:space="0"/>
              <w:left w:val="single" w:color="auto" w:sz="4" w:space="0"/>
              <w:bottom w:val="single" w:color="auto" w:sz="4" w:space="0"/>
              <w:right w:val="single" w:color="auto" w:sz="4" w:space="0"/>
            </w:tcBorders>
            <w:tcMar>
              <w:top w:w="0" w:type="dxa"/>
              <w:left w:w="105" w:type="dxa"/>
              <w:bottom w:w="0" w:type="dxa"/>
              <w:right w:w="105" w:type="dxa"/>
            </w:tcMar>
          </w:tcPr>
          <w:p w14:paraId="596007CF">
            <w:pPr>
              <w:pStyle w:val="7"/>
              <w:jc w:val="center"/>
              <w:rPr>
                <w:rFonts w:hint="default"/>
              </w:rPr>
            </w:pPr>
          </w:p>
        </w:tc>
        <w:tc>
          <w:tcPr>
            <w:tcW w:w="1071" w:type="dxa"/>
            <w:tcBorders>
              <w:top w:val="single" w:color="auto" w:sz="4" w:space="0"/>
              <w:left w:val="single" w:color="auto" w:sz="4" w:space="0"/>
              <w:bottom w:val="single" w:color="auto" w:sz="4" w:space="0"/>
              <w:right w:val="single" w:color="auto" w:sz="4" w:space="0"/>
            </w:tcBorders>
            <w:tcMar>
              <w:top w:w="0" w:type="dxa"/>
              <w:left w:w="105" w:type="dxa"/>
              <w:bottom w:w="0" w:type="dxa"/>
              <w:right w:w="105" w:type="dxa"/>
            </w:tcMar>
          </w:tcPr>
          <w:p w14:paraId="04DC3E32">
            <w:pPr>
              <w:pStyle w:val="7"/>
              <w:jc w:val="center"/>
              <w:rPr>
                <w:rFonts w:hint="default"/>
              </w:rPr>
            </w:pPr>
          </w:p>
        </w:tc>
      </w:tr>
      <w:tr w14:paraId="2CCD98FC">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rPr>
          <w:jc w:val="center"/>
        </w:trPr>
        <w:tc>
          <w:tcPr>
            <w:tcW w:w="430" w:type="dxa"/>
            <w:tcBorders>
              <w:top w:val="single" w:color="auto" w:sz="4" w:space="0"/>
              <w:left w:val="single" w:color="auto" w:sz="4" w:space="0"/>
              <w:bottom w:val="single" w:color="auto" w:sz="4" w:space="0"/>
              <w:right w:val="single" w:color="auto" w:sz="4" w:space="0"/>
            </w:tcBorders>
            <w:tcMar>
              <w:top w:w="0" w:type="dxa"/>
              <w:left w:w="105" w:type="dxa"/>
              <w:bottom w:w="0" w:type="dxa"/>
              <w:right w:w="105" w:type="dxa"/>
            </w:tcMar>
          </w:tcPr>
          <w:p w14:paraId="189903D5">
            <w:pPr>
              <w:pStyle w:val="7"/>
              <w:jc w:val="center"/>
              <w:rPr>
                <w:rFonts w:hint="default"/>
                <w:lang w:eastAsia="zh-CN"/>
              </w:rPr>
            </w:pPr>
            <w:r>
              <w:rPr>
                <w:lang w:eastAsia="zh-CN"/>
              </w:rPr>
              <w:t>2</w:t>
            </w:r>
            <w:r>
              <w:rPr>
                <w:rFonts w:hint="default"/>
                <w:lang w:eastAsia="zh-CN"/>
              </w:rPr>
              <w:t>6</w:t>
            </w:r>
          </w:p>
        </w:tc>
        <w:tc>
          <w:tcPr>
            <w:tcW w:w="2259" w:type="dxa"/>
            <w:tcBorders>
              <w:top w:val="single" w:color="auto" w:sz="4" w:space="0"/>
              <w:left w:val="single" w:color="auto" w:sz="4" w:space="0"/>
              <w:bottom w:val="single" w:color="auto" w:sz="4" w:space="0"/>
              <w:right w:val="single" w:color="auto" w:sz="4" w:space="0"/>
            </w:tcBorders>
            <w:tcMar>
              <w:top w:w="0" w:type="dxa"/>
              <w:left w:w="105" w:type="dxa"/>
              <w:bottom w:w="0" w:type="dxa"/>
              <w:right w:w="105" w:type="dxa"/>
            </w:tcMar>
            <w:vAlign w:val="center"/>
          </w:tcPr>
          <w:p w14:paraId="7DF590A5">
            <w:pPr>
              <w:jc w:val="center"/>
              <w:rPr>
                <w:rFonts w:ascii="宋体" w:hAnsi="宋体" w:cs="宋体"/>
                <w:kern w:val="0"/>
                <w:szCs w:val="21"/>
              </w:rPr>
            </w:pPr>
            <w:r>
              <w:rPr>
                <w:rFonts w:hint="eastAsia" w:ascii="宋体" w:hAnsi="宋体" w:cs="宋体"/>
                <w:kern w:val="0"/>
                <w:szCs w:val="21"/>
              </w:rPr>
              <w:t>混合气CH</w:t>
            </w:r>
            <w:r>
              <w:rPr>
                <w:rFonts w:hint="eastAsia" w:ascii="宋体" w:hAnsi="宋体" w:cs="宋体"/>
                <w:kern w:val="0"/>
                <w:szCs w:val="21"/>
                <w:vertAlign w:val="subscript"/>
              </w:rPr>
              <w:t>4</w:t>
            </w:r>
            <w:r>
              <w:rPr>
                <w:rFonts w:hint="eastAsia" w:ascii="宋体" w:hAnsi="宋体" w:cs="宋体"/>
                <w:kern w:val="0"/>
                <w:szCs w:val="21"/>
              </w:rPr>
              <w:t>:0.3%, CO:0.3%, O</w:t>
            </w:r>
            <w:r>
              <w:rPr>
                <w:rFonts w:hint="eastAsia" w:ascii="宋体" w:hAnsi="宋体" w:cs="宋体"/>
                <w:kern w:val="0"/>
                <w:szCs w:val="21"/>
                <w:vertAlign w:val="subscript"/>
              </w:rPr>
              <w:t>2</w:t>
            </w:r>
            <w:r>
              <w:rPr>
                <w:rFonts w:hint="eastAsia" w:ascii="宋体" w:hAnsi="宋体" w:cs="宋体"/>
                <w:kern w:val="0"/>
                <w:szCs w:val="21"/>
              </w:rPr>
              <w:t>:21%, N</w:t>
            </w:r>
            <w:r>
              <w:rPr>
                <w:rFonts w:hint="eastAsia" w:ascii="宋体" w:hAnsi="宋体" w:cs="宋体"/>
                <w:kern w:val="0"/>
                <w:szCs w:val="21"/>
                <w:vertAlign w:val="subscript"/>
              </w:rPr>
              <w:t>2</w:t>
            </w:r>
            <w:r>
              <w:rPr>
                <w:rFonts w:hint="eastAsia" w:ascii="宋体" w:hAnsi="宋体" w:cs="宋体"/>
                <w:kern w:val="0"/>
                <w:szCs w:val="21"/>
              </w:rPr>
              <w:t>平衡</w:t>
            </w:r>
          </w:p>
        </w:tc>
        <w:tc>
          <w:tcPr>
            <w:tcW w:w="1134" w:type="dxa"/>
            <w:tcBorders>
              <w:top w:val="single" w:color="auto" w:sz="4" w:space="0"/>
              <w:left w:val="single" w:color="auto" w:sz="4" w:space="0"/>
              <w:bottom w:val="single" w:color="auto" w:sz="4" w:space="0"/>
              <w:right w:val="single" w:color="auto" w:sz="4" w:space="0"/>
            </w:tcBorders>
            <w:tcMar>
              <w:top w:w="0" w:type="dxa"/>
              <w:left w:w="105" w:type="dxa"/>
              <w:bottom w:w="0" w:type="dxa"/>
              <w:right w:w="105" w:type="dxa"/>
            </w:tcMar>
          </w:tcPr>
          <w:p w14:paraId="4D061236">
            <w:pPr>
              <w:jc w:val="center"/>
            </w:pPr>
            <w:r>
              <w:rPr>
                <w:sz w:val="20"/>
              </w:rPr>
              <w:t>瓶</w:t>
            </w:r>
          </w:p>
        </w:tc>
        <w:tc>
          <w:tcPr>
            <w:tcW w:w="1275" w:type="dxa"/>
            <w:tcBorders>
              <w:top w:val="single" w:color="auto" w:sz="4" w:space="0"/>
              <w:left w:val="single" w:color="auto" w:sz="4" w:space="0"/>
              <w:bottom w:val="single" w:color="auto" w:sz="4" w:space="0"/>
              <w:right w:val="single" w:color="auto" w:sz="4" w:space="0"/>
            </w:tcBorders>
            <w:tcMar>
              <w:top w:w="0" w:type="dxa"/>
              <w:left w:w="105" w:type="dxa"/>
              <w:bottom w:w="0" w:type="dxa"/>
              <w:right w:w="105" w:type="dxa"/>
            </w:tcMar>
            <w:vAlign w:val="center"/>
          </w:tcPr>
          <w:p w14:paraId="34915B62">
            <w:pPr>
              <w:jc w:val="center"/>
              <w:rPr>
                <w:rFonts w:ascii="宋体" w:hAnsi="宋体" w:cs="宋体"/>
                <w:kern w:val="0"/>
                <w:szCs w:val="21"/>
              </w:rPr>
            </w:pPr>
            <w:r>
              <w:rPr>
                <w:rFonts w:hint="eastAsia" w:ascii="宋体" w:hAnsi="宋体" w:cs="宋体"/>
                <w:kern w:val="0"/>
                <w:szCs w:val="21"/>
              </w:rPr>
              <w:t>40L</w:t>
            </w:r>
          </w:p>
        </w:tc>
        <w:tc>
          <w:tcPr>
            <w:tcW w:w="1134" w:type="dxa"/>
            <w:tcBorders>
              <w:top w:val="single" w:color="auto" w:sz="4" w:space="0"/>
              <w:left w:val="single" w:color="auto" w:sz="4" w:space="0"/>
              <w:bottom w:val="single" w:color="auto" w:sz="4" w:space="0"/>
              <w:right w:val="single" w:color="auto" w:sz="4" w:space="0"/>
            </w:tcBorders>
            <w:tcMar>
              <w:top w:w="0" w:type="dxa"/>
              <w:left w:w="105" w:type="dxa"/>
              <w:bottom w:w="0" w:type="dxa"/>
              <w:right w:w="105" w:type="dxa"/>
            </w:tcMar>
          </w:tcPr>
          <w:p w14:paraId="227EA003">
            <w:pPr>
              <w:pStyle w:val="7"/>
              <w:jc w:val="center"/>
              <w:rPr>
                <w:rFonts w:hint="default"/>
              </w:rPr>
            </w:pPr>
            <w:r>
              <w:t>/</w:t>
            </w:r>
          </w:p>
        </w:tc>
        <w:tc>
          <w:tcPr>
            <w:tcW w:w="993" w:type="dxa"/>
            <w:tcBorders>
              <w:top w:val="single" w:color="auto" w:sz="4" w:space="0"/>
              <w:left w:val="single" w:color="auto" w:sz="4" w:space="0"/>
              <w:bottom w:val="single" w:color="auto" w:sz="4" w:space="0"/>
              <w:right w:val="single" w:color="auto" w:sz="4" w:space="0"/>
            </w:tcBorders>
            <w:tcMar>
              <w:top w:w="0" w:type="dxa"/>
              <w:left w:w="105" w:type="dxa"/>
              <w:bottom w:w="0" w:type="dxa"/>
              <w:right w:w="105" w:type="dxa"/>
            </w:tcMar>
          </w:tcPr>
          <w:p w14:paraId="67733D8C">
            <w:pPr>
              <w:pStyle w:val="7"/>
              <w:jc w:val="center"/>
              <w:rPr>
                <w:rFonts w:hint="default"/>
              </w:rPr>
            </w:pPr>
          </w:p>
        </w:tc>
        <w:tc>
          <w:tcPr>
            <w:tcW w:w="1071" w:type="dxa"/>
            <w:tcBorders>
              <w:top w:val="single" w:color="auto" w:sz="4" w:space="0"/>
              <w:left w:val="single" w:color="auto" w:sz="4" w:space="0"/>
              <w:bottom w:val="single" w:color="auto" w:sz="4" w:space="0"/>
              <w:right w:val="single" w:color="auto" w:sz="4" w:space="0"/>
            </w:tcBorders>
            <w:tcMar>
              <w:top w:w="0" w:type="dxa"/>
              <w:left w:w="105" w:type="dxa"/>
              <w:bottom w:w="0" w:type="dxa"/>
              <w:right w:w="105" w:type="dxa"/>
            </w:tcMar>
          </w:tcPr>
          <w:p w14:paraId="3289651A">
            <w:pPr>
              <w:pStyle w:val="7"/>
              <w:jc w:val="center"/>
              <w:rPr>
                <w:rFonts w:hint="default"/>
              </w:rPr>
            </w:pPr>
          </w:p>
        </w:tc>
      </w:tr>
      <w:tr w14:paraId="65B826F4">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rPr>
          <w:jc w:val="center"/>
        </w:trPr>
        <w:tc>
          <w:tcPr>
            <w:tcW w:w="430" w:type="dxa"/>
            <w:tcBorders>
              <w:top w:val="single" w:color="auto" w:sz="4" w:space="0"/>
              <w:left w:val="single" w:color="auto" w:sz="4" w:space="0"/>
              <w:bottom w:val="single" w:color="auto" w:sz="4" w:space="0"/>
              <w:right w:val="single" w:color="auto" w:sz="4" w:space="0"/>
            </w:tcBorders>
            <w:tcMar>
              <w:top w:w="0" w:type="dxa"/>
              <w:left w:w="105" w:type="dxa"/>
              <w:bottom w:w="0" w:type="dxa"/>
              <w:right w:w="105" w:type="dxa"/>
            </w:tcMar>
          </w:tcPr>
          <w:p w14:paraId="2E6F5580">
            <w:pPr>
              <w:pStyle w:val="7"/>
              <w:jc w:val="center"/>
              <w:rPr>
                <w:rFonts w:hint="default"/>
                <w:lang w:eastAsia="zh-CN"/>
              </w:rPr>
            </w:pPr>
            <w:r>
              <w:rPr>
                <w:lang w:eastAsia="zh-CN"/>
              </w:rPr>
              <w:t>2</w:t>
            </w:r>
            <w:r>
              <w:rPr>
                <w:rFonts w:hint="default"/>
                <w:lang w:eastAsia="zh-CN"/>
              </w:rPr>
              <w:t>7</w:t>
            </w:r>
          </w:p>
        </w:tc>
        <w:tc>
          <w:tcPr>
            <w:tcW w:w="2259" w:type="dxa"/>
            <w:tcBorders>
              <w:top w:val="single" w:color="auto" w:sz="4" w:space="0"/>
              <w:left w:val="single" w:color="auto" w:sz="4" w:space="0"/>
              <w:bottom w:val="single" w:color="auto" w:sz="4" w:space="0"/>
              <w:right w:val="single" w:color="auto" w:sz="4" w:space="0"/>
            </w:tcBorders>
            <w:tcMar>
              <w:top w:w="0" w:type="dxa"/>
              <w:left w:w="105" w:type="dxa"/>
              <w:bottom w:w="0" w:type="dxa"/>
              <w:right w:w="105" w:type="dxa"/>
            </w:tcMar>
            <w:vAlign w:val="center"/>
          </w:tcPr>
          <w:p w14:paraId="07FD185B">
            <w:pPr>
              <w:jc w:val="center"/>
              <w:rPr>
                <w:rFonts w:ascii="宋体" w:hAnsi="宋体" w:cs="宋体"/>
                <w:kern w:val="0"/>
                <w:szCs w:val="21"/>
              </w:rPr>
            </w:pPr>
            <w:r>
              <w:rPr>
                <w:rFonts w:hint="eastAsia" w:ascii="宋体" w:hAnsi="宋体" w:cs="宋体"/>
                <w:kern w:val="0"/>
                <w:szCs w:val="21"/>
              </w:rPr>
              <w:t>混合气O</w:t>
            </w:r>
            <w:r>
              <w:rPr>
                <w:rFonts w:hint="eastAsia" w:ascii="宋体" w:hAnsi="宋体" w:cs="宋体"/>
                <w:kern w:val="0"/>
                <w:szCs w:val="21"/>
                <w:vertAlign w:val="subscript"/>
              </w:rPr>
              <w:t>2</w:t>
            </w:r>
            <w:r>
              <w:rPr>
                <w:rFonts w:hint="eastAsia" w:ascii="宋体" w:hAnsi="宋体" w:cs="宋体"/>
                <w:kern w:val="0"/>
                <w:szCs w:val="21"/>
              </w:rPr>
              <w:t>:40%＋He:60%</w:t>
            </w:r>
          </w:p>
        </w:tc>
        <w:tc>
          <w:tcPr>
            <w:tcW w:w="1134" w:type="dxa"/>
            <w:tcBorders>
              <w:top w:val="single" w:color="auto" w:sz="4" w:space="0"/>
              <w:left w:val="single" w:color="auto" w:sz="4" w:space="0"/>
              <w:bottom w:val="single" w:color="auto" w:sz="4" w:space="0"/>
              <w:right w:val="single" w:color="auto" w:sz="4" w:space="0"/>
            </w:tcBorders>
            <w:tcMar>
              <w:top w:w="0" w:type="dxa"/>
              <w:left w:w="105" w:type="dxa"/>
              <w:bottom w:w="0" w:type="dxa"/>
              <w:right w:w="105" w:type="dxa"/>
            </w:tcMar>
          </w:tcPr>
          <w:p w14:paraId="4B27452A">
            <w:pPr>
              <w:jc w:val="center"/>
            </w:pPr>
            <w:r>
              <w:rPr>
                <w:sz w:val="20"/>
              </w:rPr>
              <w:t>瓶</w:t>
            </w:r>
          </w:p>
        </w:tc>
        <w:tc>
          <w:tcPr>
            <w:tcW w:w="1275" w:type="dxa"/>
            <w:tcBorders>
              <w:top w:val="single" w:color="auto" w:sz="4" w:space="0"/>
              <w:left w:val="single" w:color="auto" w:sz="4" w:space="0"/>
              <w:bottom w:val="single" w:color="auto" w:sz="4" w:space="0"/>
              <w:right w:val="single" w:color="auto" w:sz="4" w:space="0"/>
            </w:tcBorders>
            <w:tcMar>
              <w:top w:w="0" w:type="dxa"/>
              <w:left w:w="105" w:type="dxa"/>
              <w:bottom w:w="0" w:type="dxa"/>
              <w:right w:w="105" w:type="dxa"/>
            </w:tcMar>
            <w:vAlign w:val="center"/>
          </w:tcPr>
          <w:p w14:paraId="35E5111F">
            <w:pPr>
              <w:jc w:val="center"/>
              <w:rPr>
                <w:rFonts w:ascii="宋体" w:hAnsi="宋体" w:cs="宋体"/>
                <w:kern w:val="0"/>
                <w:szCs w:val="21"/>
              </w:rPr>
            </w:pPr>
            <w:r>
              <w:rPr>
                <w:rFonts w:hint="eastAsia" w:ascii="宋体" w:hAnsi="宋体" w:cs="宋体"/>
                <w:kern w:val="0"/>
                <w:szCs w:val="21"/>
              </w:rPr>
              <w:t>40L</w:t>
            </w:r>
          </w:p>
        </w:tc>
        <w:tc>
          <w:tcPr>
            <w:tcW w:w="1134" w:type="dxa"/>
            <w:tcBorders>
              <w:top w:val="single" w:color="auto" w:sz="4" w:space="0"/>
              <w:left w:val="single" w:color="auto" w:sz="4" w:space="0"/>
              <w:bottom w:val="single" w:color="auto" w:sz="4" w:space="0"/>
              <w:right w:val="single" w:color="auto" w:sz="4" w:space="0"/>
            </w:tcBorders>
            <w:tcMar>
              <w:top w:w="0" w:type="dxa"/>
              <w:left w:w="105" w:type="dxa"/>
              <w:bottom w:w="0" w:type="dxa"/>
              <w:right w:w="105" w:type="dxa"/>
            </w:tcMar>
          </w:tcPr>
          <w:p w14:paraId="29C41EB2">
            <w:pPr>
              <w:pStyle w:val="7"/>
              <w:jc w:val="center"/>
              <w:rPr>
                <w:rFonts w:hint="default"/>
              </w:rPr>
            </w:pPr>
            <w:r>
              <w:t>/</w:t>
            </w:r>
          </w:p>
        </w:tc>
        <w:tc>
          <w:tcPr>
            <w:tcW w:w="993" w:type="dxa"/>
            <w:tcBorders>
              <w:top w:val="single" w:color="auto" w:sz="4" w:space="0"/>
              <w:left w:val="single" w:color="auto" w:sz="4" w:space="0"/>
              <w:bottom w:val="single" w:color="auto" w:sz="4" w:space="0"/>
              <w:right w:val="single" w:color="auto" w:sz="4" w:space="0"/>
            </w:tcBorders>
            <w:tcMar>
              <w:top w:w="0" w:type="dxa"/>
              <w:left w:w="105" w:type="dxa"/>
              <w:bottom w:w="0" w:type="dxa"/>
              <w:right w:w="105" w:type="dxa"/>
            </w:tcMar>
          </w:tcPr>
          <w:p w14:paraId="33F6D2C2">
            <w:pPr>
              <w:pStyle w:val="7"/>
              <w:jc w:val="center"/>
              <w:rPr>
                <w:rFonts w:hint="default"/>
              </w:rPr>
            </w:pPr>
          </w:p>
        </w:tc>
        <w:tc>
          <w:tcPr>
            <w:tcW w:w="1071" w:type="dxa"/>
            <w:tcBorders>
              <w:top w:val="single" w:color="auto" w:sz="4" w:space="0"/>
              <w:left w:val="single" w:color="auto" w:sz="4" w:space="0"/>
              <w:bottom w:val="single" w:color="auto" w:sz="4" w:space="0"/>
              <w:right w:val="single" w:color="auto" w:sz="4" w:space="0"/>
            </w:tcBorders>
            <w:tcMar>
              <w:top w:w="0" w:type="dxa"/>
              <w:left w:w="105" w:type="dxa"/>
              <w:bottom w:w="0" w:type="dxa"/>
              <w:right w:w="105" w:type="dxa"/>
            </w:tcMar>
          </w:tcPr>
          <w:p w14:paraId="2F096C04">
            <w:pPr>
              <w:pStyle w:val="7"/>
              <w:jc w:val="center"/>
              <w:rPr>
                <w:rFonts w:hint="default"/>
              </w:rPr>
            </w:pPr>
          </w:p>
        </w:tc>
      </w:tr>
      <w:tr w14:paraId="0AD9AD21">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rPr>
          <w:jc w:val="center"/>
        </w:trPr>
        <w:tc>
          <w:tcPr>
            <w:tcW w:w="430" w:type="dxa"/>
            <w:tcBorders>
              <w:top w:val="single" w:color="auto" w:sz="4" w:space="0"/>
              <w:left w:val="single" w:color="auto" w:sz="4" w:space="0"/>
              <w:bottom w:val="single" w:color="auto" w:sz="4" w:space="0"/>
              <w:right w:val="single" w:color="auto" w:sz="4" w:space="0"/>
            </w:tcBorders>
            <w:tcMar>
              <w:top w:w="0" w:type="dxa"/>
              <w:left w:w="105" w:type="dxa"/>
              <w:bottom w:w="0" w:type="dxa"/>
              <w:right w:w="105" w:type="dxa"/>
            </w:tcMar>
          </w:tcPr>
          <w:p w14:paraId="24418598">
            <w:pPr>
              <w:pStyle w:val="7"/>
              <w:jc w:val="center"/>
              <w:rPr>
                <w:rFonts w:hint="default"/>
                <w:lang w:eastAsia="zh-CN"/>
              </w:rPr>
            </w:pPr>
            <w:r>
              <w:rPr>
                <w:lang w:eastAsia="zh-CN"/>
              </w:rPr>
              <w:t>2</w:t>
            </w:r>
            <w:r>
              <w:rPr>
                <w:rFonts w:hint="default"/>
                <w:lang w:eastAsia="zh-CN"/>
              </w:rPr>
              <w:t>8</w:t>
            </w:r>
          </w:p>
        </w:tc>
        <w:tc>
          <w:tcPr>
            <w:tcW w:w="2259" w:type="dxa"/>
            <w:tcBorders>
              <w:top w:val="single" w:color="auto" w:sz="4" w:space="0"/>
              <w:left w:val="single" w:color="auto" w:sz="4" w:space="0"/>
              <w:bottom w:val="single" w:color="auto" w:sz="4" w:space="0"/>
              <w:right w:val="single" w:color="auto" w:sz="4" w:space="0"/>
            </w:tcBorders>
            <w:tcMar>
              <w:top w:w="0" w:type="dxa"/>
              <w:left w:w="105" w:type="dxa"/>
              <w:bottom w:w="0" w:type="dxa"/>
              <w:right w:w="105" w:type="dxa"/>
            </w:tcMar>
            <w:vAlign w:val="center"/>
          </w:tcPr>
          <w:p w14:paraId="114F23BC">
            <w:pPr>
              <w:jc w:val="center"/>
              <w:rPr>
                <w:rFonts w:ascii="宋体" w:hAnsi="宋体" w:cs="宋体"/>
                <w:kern w:val="0"/>
                <w:szCs w:val="21"/>
              </w:rPr>
            </w:pPr>
            <w:r>
              <w:rPr>
                <w:rFonts w:hint="eastAsia" w:ascii="宋体" w:hAnsi="宋体" w:cs="宋体"/>
                <w:kern w:val="0"/>
                <w:szCs w:val="21"/>
              </w:rPr>
              <w:t>混合气O</w:t>
            </w:r>
            <w:r>
              <w:rPr>
                <w:rFonts w:hint="eastAsia" w:ascii="宋体" w:hAnsi="宋体" w:cs="宋体"/>
                <w:kern w:val="0"/>
                <w:szCs w:val="21"/>
                <w:vertAlign w:val="subscript"/>
              </w:rPr>
              <w:t>2</w:t>
            </w:r>
            <w:r>
              <w:rPr>
                <w:rFonts w:hint="eastAsia" w:ascii="宋体" w:hAnsi="宋体" w:cs="宋体"/>
                <w:kern w:val="0"/>
                <w:szCs w:val="21"/>
              </w:rPr>
              <w:t>:21%＋He:79%</w:t>
            </w:r>
          </w:p>
        </w:tc>
        <w:tc>
          <w:tcPr>
            <w:tcW w:w="1134" w:type="dxa"/>
            <w:tcBorders>
              <w:top w:val="single" w:color="auto" w:sz="4" w:space="0"/>
              <w:left w:val="single" w:color="auto" w:sz="4" w:space="0"/>
              <w:bottom w:val="single" w:color="auto" w:sz="4" w:space="0"/>
              <w:right w:val="single" w:color="auto" w:sz="4" w:space="0"/>
            </w:tcBorders>
            <w:tcMar>
              <w:top w:w="0" w:type="dxa"/>
              <w:left w:w="105" w:type="dxa"/>
              <w:bottom w:w="0" w:type="dxa"/>
              <w:right w:w="105" w:type="dxa"/>
            </w:tcMar>
          </w:tcPr>
          <w:p w14:paraId="18E34DD4">
            <w:pPr>
              <w:jc w:val="center"/>
            </w:pPr>
            <w:r>
              <w:rPr>
                <w:sz w:val="20"/>
              </w:rPr>
              <w:t>瓶</w:t>
            </w:r>
          </w:p>
        </w:tc>
        <w:tc>
          <w:tcPr>
            <w:tcW w:w="1275" w:type="dxa"/>
            <w:tcBorders>
              <w:top w:val="single" w:color="auto" w:sz="4" w:space="0"/>
              <w:left w:val="single" w:color="auto" w:sz="4" w:space="0"/>
              <w:bottom w:val="single" w:color="auto" w:sz="4" w:space="0"/>
              <w:right w:val="single" w:color="auto" w:sz="4" w:space="0"/>
            </w:tcBorders>
            <w:tcMar>
              <w:top w:w="0" w:type="dxa"/>
              <w:left w:w="105" w:type="dxa"/>
              <w:bottom w:w="0" w:type="dxa"/>
              <w:right w:w="105" w:type="dxa"/>
            </w:tcMar>
            <w:vAlign w:val="center"/>
          </w:tcPr>
          <w:p w14:paraId="66FD4914">
            <w:pPr>
              <w:jc w:val="center"/>
              <w:rPr>
                <w:rFonts w:ascii="宋体" w:hAnsi="宋体" w:cs="宋体"/>
                <w:kern w:val="0"/>
                <w:szCs w:val="21"/>
              </w:rPr>
            </w:pPr>
            <w:r>
              <w:rPr>
                <w:rFonts w:hint="eastAsia" w:ascii="宋体" w:hAnsi="宋体" w:cs="宋体"/>
                <w:kern w:val="0"/>
                <w:szCs w:val="21"/>
              </w:rPr>
              <w:t>40L</w:t>
            </w:r>
          </w:p>
        </w:tc>
        <w:tc>
          <w:tcPr>
            <w:tcW w:w="1134" w:type="dxa"/>
            <w:tcBorders>
              <w:top w:val="single" w:color="auto" w:sz="4" w:space="0"/>
              <w:left w:val="single" w:color="auto" w:sz="4" w:space="0"/>
              <w:bottom w:val="single" w:color="auto" w:sz="4" w:space="0"/>
              <w:right w:val="single" w:color="auto" w:sz="4" w:space="0"/>
            </w:tcBorders>
            <w:tcMar>
              <w:top w:w="0" w:type="dxa"/>
              <w:left w:w="105" w:type="dxa"/>
              <w:bottom w:w="0" w:type="dxa"/>
              <w:right w:w="105" w:type="dxa"/>
            </w:tcMar>
          </w:tcPr>
          <w:p w14:paraId="12F7DA40">
            <w:pPr>
              <w:pStyle w:val="7"/>
              <w:jc w:val="center"/>
              <w:rPr>
                <w:rFonts w:hint="default"/>
              </w:rPr>
            </w:pPr>
            <w:r>
              <w:t>/</w:t>
            </w:r>
          </w:p>
        </w:tc>
        <w:tc>
          <w:tcPr>
            <w:tcW w:w="993" w:type="dxa"/>
            <w:tcBorders>
              <w:top w:val="single" w:color="auto" w:sz="4" w:space="0"/>
              <w:left w:val="single" w:color="auto" w:sz="4" w:space="0"/>
              <w:bottom w:val="single" w:color="auto" w:sz="4" w:space="0"/>
              <w:right w:val="single" w:color="auto" w:sz="4" w:space="0"/>
            </w:tcBorders>
            <w:tcMar>
              <w:top w:w="0" w:type="dxa"/>
              <w:left w:w="105" w:type="dxa"/>
              <w:bottom w:w="0" w:type="dxa"/>
              <w:right w:w="105" w:type="dxa"/>
            </w:tcMar>
          </w:tcPr>
          <w:p w14:paraId="07FD59AC">
            <w:pPr>
              <w:pStyle w:val="7"/>
              <w:jc w:val="center"/>
              <w:rPr>
                <w:rFonts w:hint="default"/>
              </w:rPr>
            </w:pPr>
          </w:p>
        </w:tc>
        <w:tc>
          <w:tcPr>
            <w:tcW w:w="1071" w:type="dxa"/>
            <w:tcBorders>
              <w:top w:val="single" w:color="auto" w:sz="4" w:space="0"/>
              <w:left w:val="single" w:color="auto" w:sz="4" w:space="0"/>
              <w:bottom w:val="single" w:color="auto" w:sz="4" w:space="0"/>
              <w:right w:val="single" w:color="auto" w:sz="4" w:space="0"/>
            </w:tcBorders>
            <w:tcMar>
              <w:top w:w="0" w:type="dxa"/>
              <w:left w:w="105" w:type="dxa"/>
              <w:bottom w:w="0" w:type="dxa"/>
              <w:right w:w="105" w:type="dxa"/>
            </w:tcMar>
          </w:tcPr>
          <w:p w14:paraId="17B01C5C">
            <w:pPr>
              <w:pStyle w:val="7"/>
              <w:jc w:val="center"/>
              <w:rPr>
                <w:rFonts w:hint="default"/>
              </w:rPr>
            </w:pPr>
          </w:p>
        </w:tc>
      </w:tr>
    </w:tbl>
    <w:p w14:paraId="5D36B0F4">
      <w:pPr>
        <w:pStyle w:val="7"/>
        <w:jc w:val="both"/>
        <w:rPr>
          <w:rFonts w:hint="default"/>
        </w:rPr>
      </w:pPr>
      <w:r>
        <w:t>备注：以上</w:t>
      </w:r>
      <w:r>
        <w:rPr>
          <w:lang w:eastAsia="zh-CN"/>
        </w:rPr>
        <w:t>气体按采购人要求</w:t>
      </w:r>
      <w:r>
        <w:t>配送实际数量</w:t>
      </w:r>
      <w:r>
        <w:rPr>
          <w:lang w:eastAsia="zh-CN"/>
        </w:rPr>
        <w:t>进行结算</w:t>
      </w:r>
      <w:r>
        <w:t>。本项目总价最高限价（含税）为</w:t>
      </w:r>
      <w:r>
        <w:rPr>
          <w:rFonts w:hint="default"/>
        </w:rPr>
        <w:t>600</w:t>
      </w:r>
      <w:r>
        <w:rPr>
          <w:lang w:eastAsia="zh-CN"/>
        </w:rPr>
        <w:t>万</w:t>
      </w:r>
      <w:r>
        <w:t>元。</w:t>
      </w:r>
    </w:p>
    <w:p w14:paraId="5AD105D1">
      <w:pPr>
        <w:pStyle w:val="7"/>
        <w:spacing w:before="60"/>
        <w:ind w:left="105"/>
        <w:jc w:val="both"/>
        <w:rPr>
          <w:rFonts w:hint="default"/>
          <w:sz w:val="24"/>
          <w:szCs w:val="24"/>
        </w:rPr>
      </w:pPr>
      <w:r>
        <w:rPr>
          <w:b/>
          <w:sz w:val="21"/>
        </w:rPr>
        <w:t>（</w:t>
      </w:r>
      <w:r>
        <w:rPr>
          <w:b/>
          <w:sz w:val="24"/>
          <w:szCs w:val="24"/>
        </w:rPr>
        <w:t>二）质量要求</w:t>
      </w:r>
    </w:p>
    <w:p w14:paraId="580FB18A">
      <w:pPr>
        <w:pStyle w:val="7"/>
        <w:spacing w:before="60"/>
        <w:ind w:left="105"/>
        <w:jc w:val="both"/>
        <w:rPr>
          <w:rFonts w:hint="default"/>
          <w:sz w:val="24"/>
          <w:szCs w:val="24"/>
        </w:rPr>
      </w:pPr>
      <w:r>
        <w:rPr>
          <w:sz w:val="24"/>
          <w:szCs w:val="24"/>
        </w:rPr>
        <w:t>1、医用氧质量符合《中华人民共和国药典 （2020年版）“氧”》的要求，其他气体符合国家</w:t>
      </w:r>
      <w:r>
        <w:rPr>
          <w:sz w:val="24"/>
          <w:szCs w:val="24"/>
          <w:lang w:eastAsia="zh-CN"/>
        </w:rPr>
        <w:t>最新</w:t>
      </w:r>
      <w:r>
        <w:rPr>
          <w:sz w:val="24"/>
          <w:szCs w:val="24"/>
        </w:rPr>
        <w:t>相关质量标准，严禁提供假冒伪劣产品，严禁用工业氧气冒充医用氧气。</w:t>
      </w:r>
    </w:p>
    <w:p w14:paraId="7463B50F">
      <w:pPr>
        <w:pStyle w:val="7"/>
        <w:spacing w:before="60"/>
        <w:ind w:left="105"/>
        <w:jc w:val="both"/>
        <w:rPr>
          <w:rFonts w:hint="default"/>
          <w:sz w:val="24"/>
          <w:szCs w:val="24"/>
        </w:rPr>
      </w:pPr>
      <w:r>
        <w:rPr>
          <w:sz w:val="24"/>
          <w:szCs w:val="24"/>
        </w:rPr>
        <w:t>★2、医用氧须具备省药监部门核发的有效的《药品注册批件》或《药品再注册批件》，上面标明药品通用名称：“氧”不限规格品种。</w:t>
      </w:r>
    </w:p>
    <w:p w14:paraId="46E19EEC">
      <w:pPr>
        <w:pStyle w:val="7"/>
        <w:spacing w:before="60"/>
        <w:ind w:left="105"/>
        <w:jc w:val="both"/>
        <w:rPr>
          <w:rFonts w:hint="default"/>
          <w:sz w:val="24"/>
          <w:szCs w:val="24"/>
        </w:rPr>
      </w:pPr>
      <w:r>
        <w:rPr>
          <w:sz w:val="24"/>
          <w:szCs w:val="24"/>
        </w:rPr>
        <w:t>3、高纯气体具有生产厂家的化验报告单和合格证，采购人有权随机进行抽查送检，检测不合格的，按违约处理，检测费用由中标人承担。</w:t>
      </w:r>
    </w:p>
    <w:p w14:paraId="243A6EFA">
      <w:pPr>
        <w:pStyle w:val="7"/>
        <w:spacing w:before="60"/>
        <w:ind w:left="105"/>
        <w:jc w:val="both"/>
        <w:rPr>
          <w:rFonts w:hint="default"/>
          <w:sz w:val="24"/>
          <w:szCs w:val="24"/>
        </w:rPr>
      </w:pPr>
      <w:r>
        <w:rPr>
          <w:sz w:val="24"/>
          <w:szCs w:val="24"/>
        </w:rPr>
        <w:t>4、每批产品有与货物批号相符的质量检验报告单和合格证;产品合格证标识上按分装瓶标明产品名称，生产日期、生产批号、气体的容量(m3)、压力(Ma)、质量(kg)和纯度(%)、执行标准代号、生产企业等。</w:t>
      </w:r>
    </w:p>
    <w:p w14:paraId="279528EE">
      <w:pPr>
        <w:pStyle w:val="7"/>
        <w:spacing w:before="60"/>
        <w:ind w:left="105"/>
        <w:jc w:val="both"/>
        <w:rPr>
          <w:rFonts w:hint="default"/>
          <w:sz w:val="24"/>
          <w:szCs w:val="24"/>
        </w:rPr>
      </w:pPr>
      <w:r>
        <w:rPr>
          <w:sz w:val="24"/>
          <w:szCs w:val="24"/>
        </w:rPr>
        <w:t>5、投标人提供的盛装气体的钢瓶应符合国家安全质量要求，有检定合格钢印标志和检验机构出具的检验合格报告，在检定合格有效期内</w:t>
      </w:r>
      <w:r>
        <w:rPr>
          <w:sz w:val="24"/>
          <w:szCs w:val="24"/>
          <w:lang w:eastAsia="zh-CN"/>
        </w:rPr>
        <w:t>，钢瓶外观良好，中标人不得提供外观残旧给采购人使用</w:t>
      </w:r>
      <w:r>
        <w:rPr>
          <w:sz w:val="24"/>
          <w:szCs w:val="24"/>
        </w:rPr>
        <w:t>。</w:t>
      </w:r>
    </w:p>
    <w:p w14:paraId="4FF27A13">
      <w:pPr>
        <w:pStyle w:val="7"/>
        <w:spacing w:before="60"/>
        <w:ind w:left="105"/>
        <w:jc w:val="both"/>
        <w:rPr>
          <w:rFonts w:hint="default"/>
          <w:sz w:val="24"/>
          <w:szCs w:val="24"/>
        </w:rPr>
      </w:pPr>
      <w:r>
        <w:rPr>
          <w:sz w:val="24"/>
          <w:szCs w:val="24"/>
        </w:rPr>
        <w:t>6、钢瓶的使用种类符合国家技术规范要求，是有特种设备制造许可证的厂家生产的产品。</w:t>
      </w:r>
    </w:p>
    <w:p w14:paraId="50941B35">
      <w:pPr>
        <w:pStyle w:val="7"/>
        <w:spacing w:before="60"/>
        <w:ind w:left="105"/>
        <w:jc w:val="both"/>
        <w:rPr>
          <w:rFonts w:hint="default"/>
          <w:sz w:val="24"/>
          <w:szCs w:val="24"/>
        </w:rPr>
      </w:pPr>
      <w:r>
        <w:rPr>
          <w:sz w:val="24"/>
          <w:szCs w:val="24"/>
        </w:rPr>
        <w:t>7、钢瓶颜色和标识符合国家规定，并且标识清晰、齐全，瓶体洁净、附件完好。</w:t>
      </w:r>
    </w:p>
    <w:p w14:paraId="358BA5D9">
      <w:pPr>
        <w:pStyle w:val="7"/>
        <w:spacing w:before="60"/>
        <w:ind w:left="105"/>
        <w:jc w:val="both"/>
        <w:rPr>
          <w:rFonts w:hint="default"/>
          <w:sz w:val="24"/>
          <w:szCs w:val="24"/>
          <w:lang w:eastAsia="zh-CN"/>
        </w:rPr>
      </w:pPr>
      <w:r>
        <w:rPr>
          <w:sz w:val="24"/>
          <w:szCs w:val="24"/>
          <w:lang w:eastAsia="zh-CN"/>
        </w:rPr>
        <w:t>8、</w:t>
      </w:r>
      <w:r>
        <w:rPr>
          <w:rFonts w:ascii="宋体" w:hAnsi="宋体"/>
          <w:sz w:val="24"/>
        </w:rPr>
        <w:t>对不符合质量要求和标识要求的货品，</w:t>
      </w:r>
      <w:r>
        <w:rPr>
          <w:rFonts w:ascii="宋体" w:hAnsi="宋体"/>
          <w:sz w:val="24"/>
          <w:lang w:eastAsia="zh-CN"/>
        </w:rPr>
        <w:t>采购人</w:t>
      </w:r>
      <w:r>
        <w:rPr>
          <w:rFonts w:ascii="宋体" w:hAnsi="宋体"/>
          <w:sz w:val="24"/>
        </w:rPr>
        <w:t>有权拒收，</w:t>
      </w:r>
      <w:r>
        <w:rPr>
          <w:rFonts w:ascii="宋体" w:hAnsi="宋体"/>
          <w:sz w:val="24"/>
          <w:lang w:eastAsia="zh-CN"/>
        </w:rPr>
        <w:t>中标人</w:t>
      </w:r>
      <w:r>
        <w:rPr>
          <w:rFonts w:ascii="宋体" w:hAnsi="宋体"/>
          <w:sz w:val="24"/>
        </w:rPr>
        <w:t>应及时给予退换。</w:t>
      </w:r>
    </w:p>
    <w:p w14:paraId="4E0A84B6">
      <w:pPr>
        <w:pStyle w:val="7"/>
        <w:spacing w:before="60"/>
        <w:ind w:left="105"/>
        <w:jc w:val="both"/>
        <w:rPr>
          <w:rFonts w:hint="default"/>
          <w:sz w:val="24"/>
          <w:szCs w:val="24"/>
        </w:rPr>
      </w:pPr>
      <w:r>
        <w:rPr>
          <w:b/>
          <w:sz w:val="24"/>
          <w:szCs w:val="24"/>
        </w:rPr>
        <w:t>（三）配送要求</w:t>
      </w:r>
    </w:p>
    <w:p w14:paraId="225971A7">
      <w:pPr>
        <w:pStyle w:val="7"/>
        <w:spacing w:before="60"/>
        <w:ind w:left="105"/>
        <w:jc w:val="both"/>
        <w:rPr>
          <w:rFonts w:hint="default"/>
          <w:sz w:val="24"/>
          <w:szCs w:val="24"/>
        </w:rPr>
      </w:pPr>
      <w:r>
        <w:rPr>
          <w:sz w:val="24"/>
          <w:szCs w:val="24"/>
        </w:rPr>
        <w:t>★1、气体配送车辆应持有有效的危险化学品运输通行证。</w:t>
      </w:r>
    </w:p>
    <w:p w14:paraId="3C76B673">
      <w:pPr>
        <w:pStyle w:val="7"/>
        <w:spacing w:before="60"/>
        <w:ind w:left="105"/>
        <w:jc w:val="both"/>
        <w:rPr>
          <w:rFonts w:hint="default"/>
          <w:sz w:val="24"/>
          <w:szCs w:val="24"/>
        </w:rPr>
      </w:pPr>
      <w:r>
        <w:rPr>
          <w:sz w:val="24"/>
          <w:szCs w:val="24"/>
        </w:rPr>
        <w:t>2、投标人须提供</w:t>
      </w:r>
      <w:r>
        <w:rPr>
          <w:sz w:val="24"/>
          <w:szCs w:val="24"/>
          <w:lang w:eastAsia="zh-CN"/>
        </w:rPr>
        <w:t>全年</w:t>
      </w:r>
      <w:r>
        <w:rPr>
          <w:sz w:val="24"/>
          <w:szCs w:val="24"/>
        </w:rPr>
        <w:t>全天候24小时的配送服务，不分时段、不分节假日。做到：</w:t>
      </w:r>
    </w:p>
    <w:p w14:paraId="7395BBC8">
      <w:pPr>
        <w:pStyle w:val="7"/>
        <w:rPr>
          <w:rFonts w:hint="default"/>
          <w:sz w:val="24"/>
          <w:szCs w:val="24"/>
        </w:rPr>
      </w:pPr>
      <w:r>
        <w:rPr>
          <w:sz w:val="24"/>
          <w:szCs w:val="24"/>
        </w:rPr>
        <w:t>2.1</w:t>
      </w:r>
      <w:r>
        <w:rPr>
          <w:sz w:val="24"/>
          <w:szCs w:val="24"/>
          <w:lang w:eastAsia="zh-CN"/>
        </w:rPr>
        <w:t>气体</w:t>
      </w:r>
      <w:r>
        <w:rPr>
          <w:sz w:val="24"/>
          <w:szCs w:val="24"/>
        </w:rPr>
        <w:t>配送</w:t>
      </w:r>
      <w:r>
        <w:rPr>
          <w:sz w:val="24"/>
          <w:szCs w:val="24"/>
          <w:lang w:eastAsia="zh-CN"/>
        </w:rPr>
        <w:t>时间</w:t>
      </w:r>
      <w:r>
        <w:rPr>
          <w:sz w:val="24"/>
          <w:szCs w:val="24"/>
        </w:rPr>
        <w:t>≤</w:t>
      </w:r>
      <w:r>
        <w:rPr>
          <w:rFonts w:hint="default"/>
          <w:sz w:val="24"/>
          <w:szCs w:val="24"/>
        </w:rPr>
        <w:t>24</w:t>
      </w:r>
      <w:r>
        <w:rPr>
          <w:sz w:val="24"/>
          <w:szCs w:val="24"/>
          <w:lang w:eastAsia="zh-CN"/>
        </w:rPr>
        <w:t>小时</w:t>
      </w:r>
      <w:r>
        <w:rPr>
          <w:sz w:val="24"/>
          <w:szCs w:val="24"/>
        </w:rPr>
        <w:t>，紧急情况下的</w:t>
      </w:r>
      <w:r>
        <w:rPr>
          <w:sz w:val="24"/>
          <w:szCs w:val="24"/>
          <w:lang w:eastAsia="zh-CN"/>
        </w:rPr>
        <w:t>要求</w:t>
      </w:r>
      <w:r>
        <w:rPr>
          <w:sz w:val="24"/>
          <w:szCs w:val="24"/>
        </w:rPr>
        <w:t>4小时内送达，并且60分钟内提供瓶装氧气，保证供氧不中断。在突发公共卫生事件时，具备每天配送≥3次的能力。</w:t>
      </w:r>
    </w:p>
    <w:p w14:paraId="20D02E4F">
      <w:pPr>
        <w:pStyle w:val="7"/>
        <w:rPr>
          <w:rFonts w:hint="default"/>
          <w:sz w:val="24"/>
          <w:szCs w:val="24"/>
        </w:rPr>
      </w:pPr>
      <w:r>
        <w:rPr>
          <w:sz w:val="24"/>
          <w:szCs w:val="24"/>
        </w:rPr>
        <w:t>2.2</w:t>
      </w:r>
      <w:r>
        <w:rPr>
          <w:rFonts w:hint="default"/>
          <w:sz w:val="24"/>
          <w:szCs w:val="24"/>
        </w:rPr>
        <w:t xml:space="preserve"> </w:t>
      </w:r>
      <w:r>
        <w:rPr>
          <w:sz w:val="24"/>
          <w:szCs w:val="24"/>
        </w:rPr>
        <w:t>气体配送按需求提供不限次数、不限时间、不限数量的配送服务，接到送货通知后，按要求的时间直接送达使用科室。紧急情况下的需求，60分钟内送达。</w:t>
      </w:r>
    </w:p>
    <w:p w14:paraId="35825179">
      <w:pPr>
        <w:pStyle w:val="7"/>
        <w:spacing w:before="60"/>
        <w:ind w:left="105"/>
        <w:jc w:val="both"/>
        <w:rPr>
          <w:rFonts w:hint="default"/>
          <w:sz w:val="24"/>
          <w:szCs w:val="24"/>
        </w:rPr>
      </w:pPr>
      <w:r>
        <w:rPr>
          <w:sz w:val="24"/>
          <w:szCs w:val="24"/>
        </w:rPr>
        <w:t>3、</w:t>
      </w:r>
      <w:bookmarkStart w:id="3" w:name="OLE_LINK1"/>
      <w:bookmarkStart w:id="4" w:name="OLE_LINK2"/>
      <w:r>
        <w:rPr>
          <w:sz w:val="24"/>
          <w:szCs w:val="24"/>
          <w:lang w:eastAsia="zh-CN"/>
        </w:rPr>
        <w:t>中</w:t>
      </w:r>
      <w:bookmarkEnd w:id="3"/>
      <w:bookmarkEnd w:id="4"/>
      <w:r>
        <w:rPr>
          <w:sz w:val="24"/>
          <w:szCs w:val="24"/>
        </w:rPr>
        <w:t>标人负责气体的运输及装卸，按采购人要求送到指定地点，运输过程中的一切责任、事故由</w:t>
      </w:r>
      <w:r>
        <w:rPr>
          <w:sz w:val="24"/>
          <w:szCs w:val="24"/>
          <w:lang w:eastAsia="zh-CN"/>
        </w:rPr>
        <w:t>中</w:t>
      </w:r>
      <w:r>
        <w:rPr>
          <w:sz w:val="24"/>
          <w:szCs w:val="24"/>
        </w:rPr>
        <w:t>标人负责。</w:t>
      </w:r>
    </w:p>
    <w:p w14:paraId="68AB4478">
      <w:pPr>
        <w:pStyle w:val="7"/>
        <w:spacing w:before="60"/>
        <w:ind w:left="105"/>
        <w:jc w:val="both"/>
        <w:rPr>
          <w:rFonts w:hint="default"/>
          <w:sz w:val="24"/>
          <w:szCs w:val="24"/>
        </w:rPr>
      </w:pPr>
      <w:r>
        <w:rPr>
          <w:b/>
          <w:sz w:val="24"/>
          <w:szCs w:val="24"/>
        </w:rPr>
        <w:t>（四）供气设备服务要求</w:t>
      </w:r>
    </w:p>
    <w:p w14:paraId="2099FB40">
      <w:pPr>
        <w:pStyle w:val="7"/>
        <w:spacing w:before="60"/>
        <w:ind w:left="105"/>
        <w:jc w:val="both"/>
        <w:rPr>
          <w:rFonts w:hint="default"/>
          <w:sz w:val="24"/>
          <w:szCs w:val="24"/>
        </w:rPr>
      </w:pPr>
      <w:r>
        <w:rPr>
          <w:b/>
          <w:sz w:val="24"/>
          <w:szCs w:val="24"/>
        </w:rPr>
        <w:t>1、维护服务要求</w:t>
      </w:r>
    </w:p>
    <w:p w14:paraId="281FFE53">
      <w:pPr>
        <w:pStyle w:val="7"/>
        <w:spacing w:before="60"/>
        <w:ind w:left="105"/>
        <w:jc w:val="both"/>
        <w:rPr>
          <w:rFonts w:hint="default"/>
          <w:sz w:val="24"/>
          <w:szCs w:val="24"/>
        </w:rPr>
      </w:pPr>
      <w:r>
        <w:rPr>
          <w:sz w:val="24"/>
          <w:szCs w:val="24"/>
        </w:rPr>
        <w:t>（1）投标人须具备相应的维修、保养能力和相关从业资质，能及时处理低温液氧槽、供氧管道、瓶装供气设备的故障以确保医用气体供应；提供24小时电话值班服务，当供氧系统发生故障时，必须在1小时内有维修人员到达现场协助处理(投标时提交承诺函，格式自拟）。</w:t>
      </w:r>
    </w:p>
    <w:p w14:paraId="63A891C8">
      <w:pPr>
        <w:pStyle w:val="7"/>
        <w:spacing w:before="60"/>
        <w:ind w:left="105"/>
        <w:jc w:val="both"/>
        <w:rPr>
          <w:rFonts w:hint="default"/>
          <w:sz w:val="24"/>
          <w:szCs w:val="24"/>
        </w:rPr>
      </w:pPr>
      <w:r>
        <w:rPr>
          <w:b/>
          <w:sz w:val="24"/>
          <w:szCs w:val="24"/>
        </w:rPr>
        <w:t>2、售后服务要求</w:t>
      </w:r>
    </w:p>
    <w:p w14:paraId="2B2F4EFC">
      <w:pPr>
        <w:pStyle w:val="7"/>
        <w:spacing w:before="60"/>
        <w:ind w:left="105"/>
        <w:jc w:val="both"/>
        <w:rPr>
          <w:rFonts w:hint="default"/>
          <w:sz w:val="24"/>
          <w:szCs w:val="24"/>
        </w:rPr>
      </w:pPr>
      <w:r>
        <w:rPr>
          <w:sz w:val="24"/>
          <w:szCs w:val="24"/>
        </w:rPr>
        <w:t>（1）投标人须根据采购人的需求</w:t>
      </w:r>
      <w:r>
        <w:rPr>
          <w:sz w:val="24"/>
          <w:szCs w:val="24"/>
          <w:lang w:eastAsia="zh-CN"/>
        </w:rPr>
        <w:t>无偿</w:t>
      </w:r>
      <w:r>
        <w:rPr>
          <w:sz w:val="24"/>
          <w:szCs w:val="24"/>
        </w:rPr>
        <w:t>提供</w:t>
      </w:r>
      <w:r>
        <w:rPr>
          <w:sz w:val="24"/>
          <w:szCs w:val="24"/>
          <w:lang w:eastAsia="zh-CN"/>
        </w:rPr>
        <w:t>各类移动式</w:t>
      </w:r>
      <w:r>
        <w:rPr>
          <w:sz w:val="24"/>
          <w:szCs w:val="24"/>
        </w:rPr>
        <w:t>钢瓶给采购人使用，钢瓶由服务商负责检定、维护、易损件更换，费用包含在投标报价内，采购人不再另行支付。</w:t>
      </w:r>
    </w:p>
    <w:p w14:paraId="11601BDC">
      <w:pPr>
        <w:pStyle w:val="7"/>
        <w:spacing w:before="60"/>
        <w:ind w:left="105"/>
        <w:jc w:val="both"/>
        <w:rPr>
          <w:rFonts w:hint="default"/>
          <w:sz w:val="24"/>
          <w:szCs w:val="24"/>
        </w:rPr>
      </w:pPr>
      <w:r>
        <w:rPr>
          <w:sz w:val="24"/>
          <w:szCs w:val="24"/>
        </w:rPr>
        <w:t>（2）投标人负责为采购人制订医用气体使用和供气设备操作规程,协助采购人对医用气体实行规范管理。</w:t>
      </w:r>
    </w:p>
    <w:p w14:paraId="5A2CACB2">
      <w:pPr>
        <w:pStyle w:val="7"/>
        <w:spacing w:before="60"/>
        <w:ind w:left="105"/>
        <w:jc w:val="both"/>
        <w:rPr>
          <w:rFonts w:hint="default"/>
          <w:sz w:val="24"/>
          <w:szCs w:val="24"/>
        </w:rPr>
      </w:pPr>
      <w:r>
        <w:rPr>
          <w:b/>
          <w:sz w:val="24"/>
          <w:szCs w:val="24"/>
        </w:rPr>
        <w:t>3、培训要求</w:t>
      </w:r>
    </w:p>
    <w:p w14:paraId="55DFED79">
      <w:pPr>
        <w:pStyle w:val="7"/>
        <w:spacing w:before="60"/>
        <w:ind w:left="105" w:firstLine="420"/>
        <w:jc w:val="both"/>
        <w:rPr>
          <w:rFonts w:hint="default"/>
          <w:sz w:val="24"/>
          <w:szCs w:val="24"/>
        </w:rPr>
      </w:pPr>
      <w:r>
        <w:rPr>
          <w:sz w:val="24"/>
          <w:szCs w:val="24"/>
        </w:rPr>
        <w:t>投标人为采购人提供气体设备操作技术和气体安全使用、管理培训，确保人员使用安全、规范。必要时中标人对采购人使用进行设备操作规程培训，保证使用方人员能够掌握各种设备等常规使用方法和故障的判断与解决，并提供相关的气体防火消防和气体泄露</w:t>
      </w:r>
      <w:r>
        <w:rPr>
          <w:sz w:val="24"/>
          <w:szCs w:val="24"/>
          <w:lang w:eastAsia="zh-CN"/>
        </w:rPr>
        <w:t>应急</w:t>
      </w:r>
      <w:r>
        <w:rPr>
          <w:sz w:val="24"/>
          <w:szCs w:val="24"/>
        </w:rPr>
        <w:t>培训。</w:t>
      </w:r>
      <w:r>
        <w:rPr>
          <w:sz w:val="24"/>
          <w:szCs w:val="24"/>
          <w:lang w:eastAsia="zh-CN"/>
        </w:rPr>
        <w:t>培训</w:t>
      </w:r>
      <w:r>
        <w:rPr>
          <w:sz w:val="24"/>
          <w:szCs w:val="24"/>
        </w:rPr>
        <w:t>产生的费用包含在投标报价内。</w:t>
      </w:r>
    </w:p>
    <w:p w14:paraId="3AFAE100">
      <w:pPr>
        <w:pStyle w:val="7"/>
        <w:spacing w:before="60"/>
        <w:ind w:left="105"/>
        <w:jc w:val="both"/>
        <w:rPr>
          <w:rFonts w:hint="default"/>
          <w:sz w:val="24"/>
          <w:szCs w:val="24"/>
        </w:rPr>
      </w:pPr>
      <w:r>
        <w:rPr>
          <w:b/>
          <w:sz w:val="24"/>
          <w:szCs w:val="24"/>
        </w:rPr>
        <w:t>（五）违约责任</w:t>
      </w:r>
    </w:p>
    <w:p w14:paraId="1256E3D1">
      <w:pPr>
        <w:pStyle w:val="7"/>
        <w:spacing w:before="60"/>
        <w:ind w:left="105"/>
        <w:jc w:val="both"/>
        <w:rPr>
          <w:rFonts w:hint="default"/>
          <w:sz w:val="24"/>
          <w:szCs w:val="24"/>
        </w:rPr>
      </w:pPr>
      <w:r>
        <w:rPr>
          <w:sz w:val="24"/>
          <w:szCs w:val="24"/>
        </w:rPr>
        <w:t>1、采购人应在合同规定时间内，向中标人支付货款，</w:t>
      </w:r>
      <w:r>
        <w:rPr>
          <w:sz w:val="24"/>
          <w:szCs w:val="24"/>
          <w:lang w:eastAsia="zh-CN"/>
        </w:rPr>
        <w:t>若拖延支付中标人有权主张</w:t>
      </w:r>
      <w:r>
        <w:rPr>
          <w:sz w:val="24"/>
          <w:szCs w:val="24"/>
        </w:rPr>
        <w:t>支付货物金额的3</w:t>
      </w:r>
      <w:r>
        <w:rPr>
          <w:sz w:val="24"/>
          <w:szCs w:val="24"/>
          <w:lang w:eastAsia="zh-CN"/>
        </w:rPr>
        <w:t>‰</w:t>
      </w:r>
      <w:r>
        <w:rPr>
          <w:sz w:val="24"/>
          <w:szCs w:val="24"/>
        </w:rPr>
        <w:t>的违约金。</w:t>
      </w:r>
    </w:p>
    <w:p w14:paraId="75CB8806">
      <w:pPr>
        <w:pStyle w:val="7"/>
        <w:rPr>
          <w:rFonts w:hint="default"/>
          <w:sz w:val="24"/>
          <w:szCs w:val="24"/>
        </w:rPr>
      </w:pPr>
      <w:r>
        <w:rPr>
          <w:sz w:val="24"/>
          <w:szCs w:val="24"/>
        </w:rPr>
        <w:t xml:space="preserve">  2、中标人未能按时按质按量完成配送服务的，逾期二十天内，每拖延一天，须向采购人支付拖欠货物金额的</w:t>
      </w:r>
      <w:r>
        <w:rPr>
          <w:rFonts w:hint="default"/>
          <w:sz w:val="24"/>
          <w:szCs w:val="24"/>
        </w:rPr>
        <w:t>5</w:t>
      </w:r>
      <w:r>
        <w:rPr>
          <w:sz w:val="24"/>
          <w:szCs w:val="24"/>
          <w:lang w:eastAsia="zh-CN"/>
        </w:rPr>
        <w:t>‰</w:t>
      </w:r>
      <w:r>
        <w:rPr>
          <w:sz w:val="24"/>
          <w:szCs w:val="24"/>
        </w:rPr>
        <w:t>的违约金。中标人逾期超过二十天的，则向采购人支付拖欠货物金额的10%的违约金。超过合同规定的配送时间30天以上，采购人有权单方面解除合同，</w:t>
      </w:r>
      <w:r>
        <w:rPr>
          <w:sz w:val="24"/>
          <w:szCs w:val="24"/>
          <w:lang w:eastAsia="zh-CN"/>
        </w:rPr>
        <w:t>且</w:t>
      </w:r>
      <w:r>
        <w:rPr>
          <w:sz w:val="24"/>
          <w:szCs w:val="24"/>
        </w:rPr>
        <w:t>由此造成的一切损失由中标人承担。</w:t>
      </w:r>
    </w:p>
    <w:p w14:paraId="07F6AF42">
      <w:pPr>
        <w:pStyle w:val="7"/>
        <w:spacing w:before="60"/>
        <w:ind w:left="105"/>
        <w:jc w:val="both"/>
        <w:rPr>
          <w:rFonts w:hint="default"/>
          <w:sz w:val="24"/>
          <w:szCs w:val="24"/>
        </w:rPr>
      </w:pPr>
      <w:r>
        <w:rPr>
          <w:sz w:val="24"/>
          <w:szCs w:val="24"/>
        </w:rPr>
        <w:t>3、中标人配送的货物不符合合同规定的，采购人有权拒收，</w:t>
      </w:r>
      <w:r>
        <w:rPr>
          <w:sz w:val="24"/>
          <w:szCs w:val="24"/>
          <w:lang w:eastAsia="zh-CN"/>
        </w:rPr>
        <w:t>且</w:t>
      </w:r>
      <w:r>
        <w:rPr>
          <w:sz w:val="24"/>
          <w:szCs w:val="24"/>
        </w:rPr>
        <w:t>中标人</w:t>
      </w:r>
      <w:r>
        <w:rPr>
          <w:sz w:val="24"/>
          <w:szCs w:val="24"/>
          <w:lang w:eastAsia="zh-CN"/>
        </w:rPr>
        <w:t>须2</w:t>
      </w:r>
      <w:r>
        <w:rPr>
          <w:rFonts w:hint="default"/>
          <w:sz w:val="24"/>
          <w:szCs w:val="24"/>
          <w:lang w:eastAsia="zh-CN"/>
        </w:rPr>
        <w:t>4</w:t>
      </w:r>
      <w:r>
        <w:rPr>
          <w:sz w:val="24"/>
          <w:szCs w:val="24"/>
          <w:lang w:eastAsia="zh-CN"/>
        </w:rPr>
        <w:t>小时内免费更换</w:t>
      </w:r>
      <w:r>
        <w:rPr>
          <w:sz w:val="24"/>
          <w:szCs w:val="24"/>
        </w:rPr>
        <w:t>该批货物,同样情况出现累计达三次的，采购人有权单方面解除合同。</w:t>
      </w:r>
    </w:p>
    <w:p w14:paraId="7A6C4779">
      <w:pPr>
        <w:pStyle w:val="7"/>
        <w:spacing w:before="60"/>
        <w:ind w:left="105"/>
        <w:jc w:val="both"/>
        <w:rPr>
          <w:rFonts w:hint="default"/>
          <w:sz w:val="24"/>
          <w:szCs w:val="24"/>
        </w:rPr>
      </w:pPr>
      <w:r>
        <w:rPr>
          <w:sz w:val="24"/>
          <w:szCs w:val="24"/>
        </w:rPr>
        <w:t>4、气体在充装、配送，包括设备无及时保养、年审导致的事故，由此造成的一切责任和损失由中标人承担，且采购人有权单方面解除合同。</w:t>
      </w:r>
    </w:p>
    <w:p w14:paraId="3C0C4B05">
      <w:pPr>
        <w:pStyle w:val="7"/>
        <w:spacing w:before="60"/>
        <w:ind w:left="105"/>
        <w:jc w:val="both"/>
        <w:rPr>
          <w:rFonts w:hint="default"/>
          <w:sz w:val="24"/>
          <w:szCs w:val="24"/>
        </w:rPr>
      </w:pPr>
      <w:r>
        <w:rPr>
          <w:sz w:val="24"/>
          <w:szCs w:val="24"/>
        </w:rPr>
        <w:t>5、中标人提供的货物须符合国家有关安全标准，如</w:t>
      </w:r>
      <w:r>
        <w:rPr>
          <w:sz w:val="24"/>
          <w:szCs w:val="24"/>
          <w:lang w:eastAsia="zh-CN"/>
        </w:rPr>
        <w:t>出现质量问题，中标人须退回已收取的</w:t>
      </w:r>
      <w:r>
        <w:rPr>
          <w:sz w:val="24"/>
          <w:szCs w:val="24"/>
        </w:rPr>
        <w:t>该批货物货款</w:t>
      </w:r>
      <w:r>
        <w:rPr>
          <w:sz w:val="24"/>
          <w:szCs w:val="24"/>
          <w:lang w:eastAsia="zh-CN"/>
        </w:rPr>
        <w:t>、</w:t>
      </w:r>
      <w:r>
        <w:rPr>
          <w:sz w:val="24"/>
          <w:szCs w:val="24"/>
        </w:rPr>
        <w:t>承担因供货质量问题给采购人造成的损失，且采购人有权单方面解除合同，由此造成的一切损失由中标人承担。</w:t>
      </w:r>
    </w:p>
    <w:p w14:paraId="05E75290">
      <w:pPr>
        <w:pStyle w:val="7"/>
        <w:spacing w:before="60"/>
        <w:ind w:left="105"/>
        <w:jc w:val="both"/>
        <w:rPr>
          <w:rFonts w:hint="default"/>
          <w:sz w:val="24"/>
          <w:szCs w:val="24"/>
        </w:rPr>
      </w:pPr>
      <w:r>
        <w:rPr>
          <w:b/>
          <w:sz w:val="24"/>
          <w:szCs w:val="24"/>
        </w:rPr>
        <w:t>（六）考核：</w:t>
      </w:r>
    </w:p>
    <w:p w14:paraId="02A5C740">
      <w:pPr>
        <w:pStyle w:val="7"/>
        <w:jc w:val="both"/>
        <w:rPr>
          <w:rFonts w:hint="default"/>
          <w:sz w:val="24"/>
          <w:szCs w:val="24"/>
        </w:rPr>
      </w:pPr>
      <w:r>
        <w:rPr>
          <w:sz w:val="24"/>
          <w:szCs w:val="24"/>
        </w:rPr>
        <w:t>1、采购人每季度对中标人的服务质量进行考核，并按考核情况对中标人进行监督管理。</w:t>
      </w:r>
    </w:p>
    <w:p w14:paraId="2959DAD6">
      <w:pPr>
        <w:pStyle w:val="7"/>
        <w:rPr>
          <w:rFonts w:hint="default"/>
          <w:b/>
          <w:sz w:val="24"/>
          <w:szCs w:val="24"/>
        </w:rPr>
      </w:pPr>
    </w:p>
    <w:p w14:paraId="350AF6ED">
      <w:pPr>
        <w:pStyle w:val="7"/>
        <w:rPr>
          <w:rFonts w:hint="default"/>
          <w:b/>
          <w:sz w:val="24"/>
          <w:szCs w:val="24"/>
        </w:rPr>
      </w:pPr>
    </w:p>
    <w:p w14:paraId="4C879318">
      <w:pPr>
        <w:pStyle w:val="7"/>
        <w:ind w:left="-420" w:firstLine="318"/>
        <w:jc w:val="center"/>
        <w:rPr>
          <w:rFonts w:hint="default"/>
          <w:b/>
          <w:sz w:val="24"/>
          <w:szCs w:val="24"/>
        </w:rPr>
      </w:pPr>
      <w:r>
        <w:rPr>
          <w:b/>
          <w:sz w:val="24"/>
        </w:rPr>
        <w:t>医用气体配送服务质量季度考核表</w:t>
      </w:r>
    </w:p>
    <w:tbl>
      <w:tblPr>
        <w:tblStyle w:val="5"/>
        <w:tblW w:w="8217" w:type="dxa"/>
        <w:tblInd w:w="0" w:type="dxa"/>
        <w:tblBorders>
          <w:top w:val="none" w:color="000000" w:sz="4" w:space="0"/>
          <w:left w:val="none" w:color="000000" w:sz="4" w:space="0"/>
          <w:bottom w:val="none" w:color="000000" w:sz="4" w:space="0"/>
          <w:right w:val="none" w:color="000000" w:sz="4" w:space="0"/>
          <w:insideH w:val="none" w:color="auto" w:sz="0" w:space="0"/>
          <w:insideV w:val="none" w:color="auto" w:sz="0" w:space="0"/>
        </w:tblBorders>
        <w:tblLayout w:type="autofit"/>
        <w:tblCellMar>
          <w:top w:w="0" w:type="dxa"/>
          <w:left w:w="108" w:type="dxa"/>
          <w:bottom w:w="0" w:type="dxa"/>
          <w:right w:w="108" w:type="dxa"/>
        </w:tblCellMar>
      </w:tblPr>
      <w:tblGrid>
        <w:gridCol w:w="800"/>
        <w:gridCol w:w="800"/>
        <w:gridCol w:w="2506"/>
        <w:gridCol w:w="709"/>
        <w:gridCol w:w="2126"/>
        <w:gridCol w:w="1276"/>
      </w:tblGrid>
      <w:tr w14:paraId="356E62F5">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1600" w:type="dxa"/>
            <w:gridSpan w:val="2"/>
            <w:tcBorders>
              <w:top w:val="single" w:color="000000" w:sz="4" w:space="0"/>
              <w:left w:val="single" w:color="000000" w:sz="4" w:space="0"/>
              <w:bottom w:val="single" w:color="000000" w:sz="4" w:space="0"/>
              <w:right w:val="single" w:color="000000" w:sz="4" w:space="0"/>
            </w:tcBorders>
            <w:tcMar>
              <w:top w:w="0" w:type="dxa"/>
              <w:left w:w="105" w:type="dxa"/>
              <w:bottom w:w="0" w:type="dxa"/>
              <w:right w:w="105" w:type="dxa"/>
            </w:tcMar>
          </w:tcPr>
          <w:p w14:paraId="4A28CD61">
            <w:pPr>
              <w:pStyle w:val="7"/>
              <w:jc w:val="center"/>
              <w:rPr>
                <w:rFonts w:hint="default"/>
              </w:rPr>
            </w:pPr>
            <w:r>
              <w:t>考核项目</w:t>
            </w:r>
          </w:p>
        </w:tc>
        <w:tc>
          <w:tcPr>
            <w:tcW w:w="2506" w:type="dxa"/>
            <w:tcBorders>
              <w:top w:val="single" w:color="000000" w:sz="4" w:space="0"/>
              <w:left w:val="nil"/>
              <w:bottom w:val="single" w:color="000000" w:sz="4" w:space="0"/>
              <w:right w:val="single" w:color="000000" w:sz="4" w:space="0"/>
            </w:tcBorders>
            <w:tcMar>
              <w:top w:w="0" w:type="dxa"/>
              <w:left w:w="105" w:type="dxa"/>
              <w:bottom w:w="0" w:type="dxa"/>
              <w:right w:w="105" w:type="dxa"/>
            </w:tcMar>
          </w:tcPr>
          <w:p w14:paraId="55F55D37">
            <w:pPr>
              <w:pStyle w:val="7"/>
              <w:jc w:val="center"/>
              <w:rPr>
                <w:rFonts w:hint="default"/>
              </w:rPr>
            </w:pPr>
            <w:r>
              <w:t>考核内容</w:t>
            </w:r>
          </w:p>
        </w:tc>
        <w:tc>
          <w:tcPr>
            <w:tcW w:w="709" w:type="dxa"/>
            <w:tcBorders>
              <w:top w:val="single" w:color="000000" w:sz="4" w:space="0"/>
              <w:left w:val="nil"/>
              <w:bottom w:val="single" w:color="000000" w:sz="4" w:space="0"/>
              <w:right w:val="single" w:color="000000" w:sz="4" w:space="0"/>
            </w:tcBorders>
            <w:tcMar>
              <w:top w:w="0" w:type="dxa"/>
              <w:left w:w="105" w:type="dxa"/>
              <w:bottom w:w="0" w:type="dxa"/>
              <w:right w:w="105" w:type="dxa"/>
            </w:tcMar>
          </w:tcPr>
          <w:p w14:paraId="4328D44E">
            <w:pPr>
              <w:pStyle w:val="7"/>
              <w:jc w:val="center"/>
              <w:rPr>
                <w:rFonts w:hint="default"/>
              </w:rPr>
            </w:pPr>
            <w:r>
              <w:t>分值</w:t>
            </w:r>
          </w:p>
        </w:tc>
        <w:tc>
          <w:tcPr>
            <w:tcW w:w="2126" w:type="dxa"/>
            <w:tcBorders>
              <w:top w:val="single" w:color="000000" w:sz="4" w:space="0"/>
              <w:left w:val="nil"/>
              <w:bottom w:val="single" w:color="000000" w:sz="4" w:space="0"/>
              <w:right w:val="single" w:color="000000" w:sz="4" w:space="0"/>
            </w:tcBorders>
            <w:tcMar>
              <w:top w:w="0" w:type="dxa"/>
              <w:left w:w="105" w:type="dxa"/>
              <w:bottom w:w="0" w:type="dxa"/>
              <w:right w:w="105" w:type="dxa"/>
            </w:tcMar>
          </w:tcPr>
          <w:p w14:paraId="40422415">
            <w:pPr>
              <w:pStyle w:val="7"/>
              <w:jc w:val="center"/>
              <w:rPr>
                <w:rFonts w:hint="default"/>
              </w:rPr>
            </w:pPr>
            <w:r>
              <w:t>扣分标准</w:t>
            </w:r>
          </w:p>
        </w:tc>
        <w:tc>
          <w:tcPr>
            <w:tcW w:w="1276" w:type="dxa"/>
            <w:tcBorders>
              <w:top w:val="single" w:color="000000" w:sz="4" w:space="0"/>
              <w:left w:val="nil"/>
              <w:bottom w:val="single" w:color="000000" w:sz="4" w:space="0"/>
              <w:right w:val="single" w:color="000000" w:sz="4" w:space="0"/>
            </w:tcBorders>
            <w:tcMar>
              <w:top w:w="0" w:type="dxa"/>
              <w:left w:w="105" w:type="dxa"/>
              <w:bottom w:w="0" w:type="dxa"/>
              <w:right w:w="105" w:type="dxa"/>
            </w:tcMar>
          </w:tcPr>
          <w:p w14:paraId="3DC3E78B">
            <w:pPr>
              <w:pStyle w:val="7"/>
              <w:jc w:val="center"/>
              <w:rPr>
                <w:rFonts w:hint="default"/>
              </w:rPr>
            </w:pPr>
            <w:r>
              <w:t>得分</w:t>
            </w:r>
          </w:p>
        </w:tc>
      </w:tr>
      <w:tr w14:paraId="4CB4C3CC">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800" w:type="dxa"/>
            <w:vMerge w:val="restart"/>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5E5EA107">
            <w:pPr>
              <w:pStyle w:val="7"/>
              <w:jc w:val="center"/>
              <w:rPr>
                <w:rFonts w:hint="default"/>
              </w:rPr>
            </w:pPr>
            <w:r>
              <w:t>服务质量及合同履行情况</w:t>
            </w:r>
          </w:p>
        </w:tc>
        <w:tc>
          <w:tcPr>
            <w:tcW w:w="800" w:type="dxa"/>
            <w:vMerge w:val="restart"/>
            <w:tcBorders>
              <w:top w:val="nil"/>
              <w:left w:val="nil"/>
              <w:bottom w:val="single" w:color="000000" w:sz="4" w:space="0"/>
              <w:right w:val="single" w:color="000000" w:sz="4" w:space="0"/>
            </w:tcBorders>
            <w:tcMar>
              <w:top w:w="0" w:type="dxa"/>
              <w:left w:w="105" w:type="dxa"/>
              <w:bottom w:w="0" w:type="dxa"/>
              <w:right w:w="105" w:type="dxa"/>
            </w:tcMar>
          </w:tcPr>
          <w:p w14:paraId="26515256">
            <w:pPr>
              <w:pStyle w:val="7"/>
              <w:jc w:val="both"/>
              <w:rPr>
                <w:rFonts w:hint="default"/>
              </w:rPr>
            </w:pPr>
            <w:r>
              <w:t>服务响应速度</w:t>
            </w:r>
          </w:p>
        </w:tc>
        <w:tc>
          <w:tcPr>
            <w:tcW w:w="2506" w:type="dxa"/>
            <w:tcBorders>
              <w:top w:val="nil"/>
              <w:left w:val="nil"/>
              <w:bottom w:val="single" w:color="000000" w:sz="4" w:space="0"/>
              <w:right w:val="single" w:color="000000" w:sz="4" w:space="0"/>
            </w:tcBorders>
            <w:tcMar>
              <w:top w:w="0" w:type="dxa"/>
              <w:left w:w="105" w:type="dxa"/>
              <w:bottom w:w="0" w:type="dxa"/>
              <w:right w:w="105" w:type="dxa"/>
            </w:tcMar>
          </w:tcPr>
          <w:p w14:paraId="5FFA5F25">
            <w:pPr>
              <w:pStyle w:val="7"/>
              <w:jc w:val="both"/>
              <w:rPr>
                <w:rFonts w:hint="default"/>
              </w:rPr>
            </w:pPr>
            <w:r>
              <w:t>货物配送响应及时迅速，紧急情况下,液氧的配送时间不超过4小时，其他气体的配送时间不超过1.5小时。</w:t>
            </w:r>
          </w:p>
        </w:tc>
        <w:tc>
          <w:tcPr>
            <w:tcW w:w="709" w:type="dxa"/>
            <w:tcBorders>
              <w:top w:val="nil"/>
              <w:left w:val="nil"/>
              <w:bottom w:val="single" w:color="000000" w:sz="4" w:space="0"/>
              <w:right w:val="single" w:color="000000" w:sz="4" w:space="0"/>
            </w:tcBorders>
            <w:tcMar>
              <w:top w:w="0" w:type="dxa"/>
              <w:left w:w="105" w:type="dxa"/>
              <w:bottom w:w="0" w:type="dxa"/>
              <w:right w:w="105" w:type="dxa"/>
            </w:tcMar>
          </w:tcPr>
          <w:p w14:paraId="4249C607">
            <w:pPr>
              <w:pStyle w:val="7"/>
              <w:jc w:val="center"/>
              <w:rPr>
                <w:rFonts w:hint="default"/>
              </w:rPr>
            </w:pPr>
            <w:r>
              <w:t>20分</w:t>
            </w:r>
          </w:p>
        </w:tc>
        <w:tc>
          <w:tcPr>
            <w:tcW w:w="2126" w:type="dxa"/>
            <w:tcBorders>
              <w:top w:val="nil"/>
              <w:left w:val="nil"/>
              <w:bottom w:val="single" w:color="000000" w:sz="4" w:space="0"/>
              <w:right w:val="single" w:color="000000" w:sz="4" w:space="0"/>
            </w:tcBorders>
            <w:tcMar>
              <w:top w:w="0" w:type="dxa"/>
              <w:left w:w="105" w:type="dxa"/>
              <w:bottom w:w="0" w:type="dxa"/>
              <w:right w:w="105" w:type="dxa"/>
            </w:tcMar>
          </w:tcPr>
          <w:p w14:paraId="5DCC66F9">
            <w:pPr>
              <w:pStyle w:val="7"/>
              <w:jc w:val="both"/>
              <w:rPr>
                <w:rFonts w:hint="default"/>
              </w:rPr>
            </w:pPr>
            <w:r>
              <w:t>未经采购人同意，超出配送时间限制的，每次扣5分</w:t>
            </w:r>
          </w:p>
        </w:tc>
        <w:tc>
          <w:tcPr>
            <w:tcW w:w="1276" w:type="dxa"/>
            <w:tcBorders>
              <w:top w:val="nil"/>
              <w:left w:val="nil"/>
              <w:bottom w:val="single" w:color="000000" w:sz="4" w:space="0"/>
              <w:right w:val="single" w:color="000000" w:sz="4" w:space="0"/>
            </w:tcBorders>
            <w:tcMar>
              <w:top w:w="0" w:type="dxa"/>
              <w:left w:w="105" w:type="dxa"/>
              <w:bottom w:w="0" w:type="dxa"/>
              <w:right w:w="105" w:type="dxa"/>
            </w:tcMar>
          </w:tcPr>
          <w:p w14:paraId="1ADE6798"/>
        </w:tc>
      </w:tr>
      <w:tr w14:paraId="1992D24E">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800" w:type="dxa"/>
            <w:vMerge w:val="continue"/>
            <w:tcBorders>
              <w:top w:val="nil"/>
              <w:left w:val="single" w:color="000000" w:sz="4" w:space="0"/>
              <w:bottom w:val="single" w:color="000000" w:sz="4" w:space="0"/>
              <w:right w:val="single" w:color="000000" w:sz="4" w:space="0"/>
            </w:tcBorders>
          </w:tcPr>
          <w:p w14:paraId="3B7C5F14"/>
        </w:tc>
        <w:tc>
          <w:tcPr>
            <w:tcW w:w="800" w:type="dxa"/>
            <w:vMerge w:val="continue"/>
            <w:tcBorders>
              <w:top w:val="nil"/>
              <w:left w:val="nil"/>
              <w:bottom w:val="single" w:color="000000" w:sz="4" w:space="0"/>
              <w:right w:val="single" w:color="000000" w:sz="4" w:space="0"/>
            </w:tcBorders>
          </w:tcPr>
          <w:p w14:paraId="52A7EEC3"/>
        </w:tc>
        <w:tc>
          <w:tcPr>
            <w:tcW w:w="2506" w:type="dxa"/>
            <w:tcBorders>
              <w:top w:val="nil"/>
              <w:left w:val="nil"/>
              <w:bottom w:val="single" w:color="000000" w:sz="4" w:space="0"/>
              <w:right w:val="single" w:color="000000" w:sz="4" w:space="0"/>
            </w:tcBorders>
            <w:tcMar>
              <w:top w:w="0" w:type="dxa"/>
              <w:left w:w="105" w:type="dxa"/>
              <w:bottom w:w="0" w:type="dxa"/>
              <w:right w:w="105" w:type="dxa"/>
            </w:tcMar>
          </w:tcPr>
          <w:p w14:paraId="6B9599BB">
            <w:pPr>
              <w:pStyle w:val="7"/>
              <w:jc w:val="both"/>
              <w:rPr>
                <w:rFonts w:hint="default"/>
              </w:rPr>
            </w:pPr>
            <w:r>
              <w:t>接到故障通知后1小时内安排专业人员到达现场排除故障，确保采购人医用气体的正常供应。</w:t>
            </w:r>
          </w:p>
        </w:tc>
        <w:tc>
          <w:tcPr>
            <w:tcW w:w="709" w:type="dxa"/>
            <w:tcBorders>
              <w:top w:val="nil"/>
              <w:left w:val="nil"/>
              <w:bottom w:val="single" w:color="000000" w:sz="4" w:space="0"/>
              <w:right w:val="single" w:color="000000" w:sz="4" w:space="0"/>
            </w:tcBorders>
            <w:tcMar>
              <w:top w:w="0" w:type="dxa"/>
              <w:left w:w="105" w:type="dxa"/>
              <w:bottom w:w="0" w:type="dxa"/>
              <w:right w:w="105" w:type="dxa"/>
            </w:tcMar>
          </w:tcPr>
          <w:p w14:paraId="098417E3">
            <w:pPr>
              <w:pStyle w:val="7"/>
              <w:jc w:val="center"/>
              <w:rPr>
                <w:rFonts w:hint="default"/>
              </w:rPr>
            </w:pPr>
            <w:r>
              <w:t>20分</w:t>
            </w:r>
          </w:p>
        </w:tc>
        <w:tc>
          <w:tcPr>
            <w:tcW w:w="2126" w:type="dxa"/>
            <w:tcBorders>
              <w:top w:val="nil"/>
              <w:left w:val="nil"/>
              <w:bottom w:val="single" w:color="000000" w:sz="4" w:space="0"/>
              <w:right w:val="single" w:color="000000" w:sz="4" w:space="0"/>
            </w:tcBorders>
            <w:tcMar>
              <w:top w:w="0" w:type="dxa"/>
              <w:left w:w="105" w:type="dxa"/>
              <w:bottom w:w="0" w:type="dxa"/>
              <w:right w:w="105" w:type="dxa"/>
            </w:tcMar>
          </w:tcPr>
          <w:p w14:paraId="77F660AE">
            <w:pPr>
              <w:pStyle w:val="7"/>
              <w:jc w:val="both"/>
              <w:rPr>
                <w:rFonts w:hint="default"/>
              </w:rPr>
            </w:pPr>
            <w:r>
              <w:t>超时每次扣5分</w:t>
            </w:r>
          </w:p>
        </w:tc>
        <w:tc>
          <w:tcPr>
            <w:tcW w:w="1276" w:type="dxa"/>
            <w:tcBorders>
              <w:top w:val="nil"/>
              <w:left w:val="nil"/>
              <w:bottom w:val="single" w:color="000000" w:sz="4" w:space="0"/>
              <w:right w:val="single" w:color="000000" w:sz="4" w:space="0"/>
            </w:tcBorders>
            <w:tcMar>
              <w:top w:w="0" w:type="dxa"/>
              <w:left w:w="105" w:type="dxa"/>
              <w:bottom w:w="0" w:type="dxa"/>
              <w:right w:w="105" w:type="dxa"/>
            </w:tcMar>
          </w:tcPr>
          <w:p w14:paraId="1071F705"/>
        </w:tc>
      </w:tr>
      <w:tr w14:paraId="3083A79A">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800" w:type="dxa"/>
            <w:vMerge w:val="continue"/>
            <w:tcBorders>
              <w:top w:val="nil"/>
              <w:left w:val="single" w:color="000000" w:sz="4" w:space="0"/>
              <w:bottom w:val="single" w:color="000000" w:sz="4" w:space="0"/>
              <w:right w:val="single" w:color="000000" w:sz="4" w:space="0"/>
            </w:tcBorders>
          </w:tcPr>
          <w:p w14:paraId="5BA844E3"/>
        </w:tc>
        <w:tc>
          <w:tcPr>
            <w:tcW w:w="800" w:type="dxa"/>
            <w:vMerge w:val="restart"/>
            <w:tcBorders>
              <w:top w:val="nil"/>
              <w:left w:val="nil"/>
              <w:bottom w:val="single" w:color="000000" w:sz="4" w:space="0"/>
              <w:right w:val="single" w:color="000000" w:sz="4" w:space="0"/>
            </w:tcBorders>
            <w:tcMar>
              <w:top w:w="0" w:type="dxa"/>
              <w:left w:w="105" w:type="dxa"/>
              <w:bottom w:w="0" w:type="dxa"/>
              <w:right w:w="105" w:type="dxa"/>
            </w:tcMar>
          </w:tcPr>
          <w:p w14:paraId="57DDFD60">
            <w:pPr>
              <w:pStyle w:val="7"/>
              <w:jc w:val="center"/>
              <w:rPr>
                <w:rFonts w:hint="default"/>
              </w:rPr>
            </w:pPr>
            <w:r>
              <w:t>维保情况</w:t>
            </w:r>
          </w:p>
        </w:tc>
        <w:tc>
          <w:tcPr>
            <w:tcW w:w="2506" w:type="dxa"/>
            <w:tcBorders>
              <w:top w:val="nil"/>
              <w:left w:val="nil"/>
              <w:bottom w:val="single" w:color="000000" w:sz="4" w:space="0"/>
              <w:right w:val="single" w:color="000000" w:sz="4" w:space="0"/>
            </w:tcBorders>
            <w:tcMar>
              <w:top w:w="0" w:type="dxa"/>
              <w:left w:w="105" w:type="dxa"/>
              <w:bottom w:w="0" w:type="dxa"/>
              <w:right w:w="105" w:type="dxa"/>
            </w:tcMar>
          </w:tcPr>
          <w:p w14:paraId="4621F6AB">
            <w:pPr>
              <w:pStyle w:val="7"/>
              <w:jc w:val="both"/>
              <w:rPr>
                <w:rFonts w:hint="default"/>
              </w:rPr>
            </w:pPr>
            <w:r>
              <w:t>对采购人的供氧中心（包括但不限于液氧罐、汇流排、管道）、供气主管道进行每季度一次的维护保养，存在故障或安全隐患时应及时向采购人报告，指导采购人人员进行正确的维护,保养工作。</w:t>
            </w:r>
          </w:p>
        </w:tc>
        <w:tc>
          <w:tcPr>
            <w:tcW w:w="709" w:type="dxa"/>
            <w:tcBorders>
              <w:top w:val="nil"/>
              <w:left w:val="nil"/>
              <w:bottom w:val="single" w:color="000000" w:sz="4" w:space="0"/>
              <w:right w:val="single" w:color="000000" w:sz="4" w:space="0"/>
            </w:tcBorders>
            <w:tcMar>
              <w:top w:w="0" w:type="dxa"/>
              <w:left w:w="105" w:type="dxa"/>
              <w:bottom w:w="0" w:type="dxa"/>
              <w:right w:w="105" w:type="dxa"/>
            </w:tcMar>
          </w:tcPr>
          <w:p w14:paraId="0EBE7173">
            <w:pPr>
              <w:pStyle w:val="7"/>
              <w:jc w:val="center"/>
              <w:rPr>
                <w:rFonts w:hint="default"/>
              </w:rPr>
            </w:pPr>
            <w:r>
              <w:t>20分</w:t>
            </w:r>
          </w:p>
        </w:tc>
        <w:tc>
          <w:tcPr>
            <w:tcW w:w="2126" w:type="dxa"/>
            <w:tcBorders>
              <w:top w:val="nil"/>
              <w:left w:val="nil"/>
              <w:bottom w:val="single" w:color="000000" w:sz="4" w:space="0"/>
              <w:right w:val="single" w:color="000000" w:sz="4" w:space="0"/>
            </w:tcBorders>
            <w:tcMar>
              <w:top w:w="0" w:type="dxa"/>
              <w:left w:w="105" w:type="dxa"/>
              <w:bottom w:w="0" w:type="dxa"/>
              <w:right w:w="105" w:type="dxa"/>
            </w:tcMar>
          </w:tcPr>
          <w:p w14:paraId="17AC0CE1">
            <w:pPr>
              <w:pStyle w:val="7"/>
              <w:jc w:val="both"/>
              <w:rPr>
                <w:rFonts w:hint="default"/>
              </w:rPr>
            </w:pPr>
            <w:r>
              <w:t>没按时维保或没及时汇报存在故障、安全隐患的，每次扣10分</w:t>
            </w:r>
          </w:p>
        </w:tc>
        <w:tc>
          <w:tcPr>
            <w:tcW w:w="1276" w:type="dxa"/>
            <w:tcBorders>
              <w:top w:val="nil"/>
              <w:left w:val="nil"/>
              <w:bottom w:val="single" w:color="000000" w:sz="4" w:space="0"/>
              <w:right w:val="single" w:color="000000" w:sz="4" w:space="0"/>
            </w:tcBorders>
            <w:tcMar>
              <w:top w:w="0" w:type="dxa"/>
              <w:left w:w="105" w:type="dxa"/>
              <w:bottom w:w="0" w:type="dxa"/>
              <w:right w:w="105" w:type="dxa"/>
            </w:tcMar>
          </w:tcPr>
          <w:p w14:paraId="2FBB9A66"/>
        </w:tc>
      </w:tr>
      <w:tr w14:paraId="0233A3BD">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800" w:type="dxa"/>
            <w:vMerge w:val="continue"/>
            <w:tcBorders>
              <w:top w:val="nil"/>
              <w:left w:val="single" w:color="000000" w:sz="4" w:space="0"/>
              <w:bottom w:val="single" w:color="000000" w:sz="4" w:space="0"/>
              <w:right w:val="single" w:color="000000" w:sz="4" w:space="0"/>
            </w:tcBorders>
          </w:tcPr>
          <w:p w14:paraId="654303D1"/>
        </w:tc>
        <w:tc>
          <w:tcPr>
            <w:tcW w:w="800" w:type="dxa"/>
            <w:vMerge w:val="continue"/>
            <w:tcBorders>
              <w:top w:val="nil"/>
              <w:left w:val="nil"/>
              <w:bottom w:val="single" w:color="000000" w:sz="4" w:space="0"/>
              <w:right w:val="single" w:color="000000" w:sz="4" w:space="0"/>
            </w:tcBorders>
          </w:tcPr>
          <w:p w14:paraId="534715ED"/>
        </w:tc>
        <w:tc>
          <w:tcPr>
            <w:tcW w:w="2506" w:type="dxa"/>
            <w:tcBorders>
              <w:top w:val="nil"/>
              <w:left w:val="nil"/>
              <w:bottom w:val="single" w:color="000000" w:sz="4" w:space="0"/>
              <w:right w:val="single" w:color="000000" w:sz="4" w:space="0"/>
            </w:tcBorders>
            <w:tcMar>
              <w:top w:w="0" w:type="dxa"/>
              <w:left w:w="105" w:type="dxa"/>
              <w:bottom w:w="0" w:type="dxa"/>
              <w:right w:w="105" w:type="dxa"/>
            </w:tcMar>
          </w:tcPr>
          <w:p w14:paraId="40FB9524">
            <w:pPr>
              <w:pStyle w:val="7"/>
              <w:jc w:val="both"/>
              <w:rPr>
                <w:rFonts w:hint="default"/>
              </w:rPr>
            </w:pPr>
            <w:r>
              <w:t>设备故障能修即修，需更换配件的，提供故障情况说明与处理方案。</w:t>
            </w:r>
          </w:p>
        </w:tc>
        <w:tc>
          <w:tcPr>
            <w:tcW w:w="709" w:type="dxa"/>
            <w:tcBorders>
              <w:top w:val="nil"/>
              <w:left w:val="nil"/>
              <w:bottom w:val="single" w:color="000000" w:sz="4" w:space="0"/>
              <w:right w:val="single" w:color="000000" w:sz="4" w:space="0"/>
            </w:tcBorders>
            <w:tcMar>
              <w:top w:w="0" w:type="dxa"/>
              <w:left w:w="105" w:type="dxa"/>
              <w:bottom w:w="0" w:type="dxa"/>
              <w:right w:w="105" w:type="dxa"/>
            </w:tcMar>
          </w:tcPr>
          <w:p w14:paraId="36A5972B">
            <w:pPr>
              <w:pStyle w:val="7"/>
              <w:jc w:val="center"/>
              <w:rPr>
                <w:rFonts w:hint="default"/>
              </w:rPr>
            </w:pPr>
            <w:r>
              <w:t>10分</w:t>
            </w:r>
          </w:p>
        </w:tc>
        <w:tc>
          <w:tcPr>
            <w:tcW w:w="2126" w:type="dxa"/>
            <w:tcBorders>
              <w:top w:val="nil"/>
              <w:left w:val="nil"/>
              <w:bottom w:val="single" w:color="000000" w:sz="4" w:space="0"/>
              <w:right w:val="single" w:color="000000" w:sz="4" w:space="0"/>
            </w:tcBorders>
            <w:tcMar>
              <w:top w:w="0" w:type="dxa"/>
              <w:left w:w="105" w:type="dxa"/>
              <w:bottom w:w="0" w:type="dxa"/>
              <w:right w:w="105" w:type="dxa"/>
            </w:tcMar>
          </w:tcPr>
          <w:p w14:paraId="369E0365">
            <w:pPr>
              <w:pStyle w:val="7"/>
              <w:jc w:val="both"/>
              <w:rPr>
                <w:rFonts w:hint="default"/>
              </w:rPr>
            </w:pPr>
            <w:r>
              <w:t>更换配件未经甲方同意的，每次扣5分</w:t>
            </w:r>
          </w:p>
        </w:tc>
        <w:tc>
          <w:tcPr>
            <w:tcW w:w="1276" w:type="dxa"/>
            <w:tcBorders>
              <w:top w:val="nil"/>
              <w:left w:val="nil"/>
              <w:bottom w:val="single" w:color="000000" w:sz="4" w:space="0"/>
              <w:right w:val="single" w:color="000000" w:sz="4" w:space="0"/>
            </w:tcBorders>
            <w:tcMar>
              <w:top w:w="0" w:type="dxa"/>
              <w:left w:w="105" w:type="dxa"/>
              <w:bottom w:w="0" w:type="dxa"/>
              <w:right w:w="105" w:type="dxa"/>
            </w:tcMar>
          </w:tcPr>
          <w:p w14:paraId="2CAD657D"/>
        </w:tc>
      </w:tr>
      <w:tr w14:paraId="708EE9EB">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800" w:type="dxa"/>
            <w:vMerge w:val="continue"/>
            <w:tcBorders>
              <w:top w:val="nil"/>
              <w:left w:val="single" w:color="000000" w:sz="4" w:space="0"/>
              <w:bottom w:val="single" w:color="000000" w:sz="4" w:space="0"/>
              <w:right w:val="single" w:color="000000" w:sz="4" w:space="0"/>
            </w:tcBorders>
          </w:tcPr>
          <w:p w14:paraId="0A5081AE"/>
        </w:tc>
        <w:tc>
          <w:tcPr>
            <w:tcW w:w="800" w:type="dxa"/>
            <w:tcBorders>
              <w:top w:val="nil"/>
              <w:left w:val="nil"/>
              <w:bottom w:val="single" w:color="000000" w:sz="4" w:space="0"/>
              <w:right w:val="single" w:color="000000" w:sz="4" w:space="0"/>
            </w:tcBorders>
            <w:tcMar>
              <w:top w:w="0" w:type="dxa"/>
              <w:left w:w="105" w:type="dxa"/>
              <w:bottom w:w="0" w:type="dxa"/>
              <w:right w:w="105" w:type="dxa"/>
            </w:tcMar>
          </w:tcPr>
          <w:p w14:paraId="4EDD52CF">
            <w:pPr>
              <w:pStyle w:val="7"/>
              <w:jc w:val="center"/>
              <w:rPr>
                <w:rFonts w:hint="default"/>
              </w:rPr>
            </w:pPr>
            <w:r>
              <w:t>服务评价</w:t>
            </w:r>
          </w:p>
        </w:tc>
        <w:tc>
          <w:tcPr>
            <w:tcW w:w="2506" w:type="dxa"/>
            <w:tcBorders>
              <w:top w:val="nil"/>
              <w:left w:val="nil"/>
              <w:bottom w:val="single" w:color="000000" w:sz="4" w:space="0"/>
              <w:right w:val="single" w:color="000000" w:sz="4" w:space="0"/>
            </w:tcBorders>
            <w:tcMar>
              <w:top w:w="0" w:type="dxa"/>
              <w:left w:w="105" w:type="dxa"/>
              <w:bottom w:w="0" w:type="dxa"/>
              <w:right w:w="105" w:type="dxa"/>
            </w:tcMar>
          </w:tcPr>
          <w:p w14:paraId="48248579">
            <w:pPr>
              <w:pStyle w:val="7"/>
              <w:jc w:val="both"/>
              <w:rPr>
                <w:rFonts w:hint="default"/>
              </w:rPr>
            </w:pPr>
            <w:r>
              <w:t>服务态度良好；对货物质量、配送、服务等出现投诉，经调查后确定是否为有效投诉。</w:t>
            </w:r>
          </w:p>
        </w:tc>
        <w:tc>
          <w:tcPr>
            <w:tcW w:w="709" w:type="dxa"/>
            <w:tcBorders>
              <w:top w:val="nil"/>
              <w:left w:val="nil"/>
              <w:bottom w:val="single" w:color="000000" w:sz="4" w:space="0"/>
              <w:right w:val="single" w:color="000000" w:sz="4" w:space="0"/>
            </w:tcBorders>
            <w:tcMar>
              <w:top w:w="0" w:type="dxa"/>
              <w:left w:w="105" w:type="dxa"/>
              <w:bottom w:w="0" w:type="dxa"/>
              <w:right w:w="105" w:type="dxa"/>
            </w:tcMar>
          </w:tcPr>
          <w:p w14:paraId="43B8E21E">
            <w:pPr>
              <w:pStyle w:val="7"/>
              <w:jc w:val="center"/>
              <w:rPr>
                <w:rFonts w:hint="default"/>
              </w:rPr>
            </w:pPr>
            <w:r>
              <w:t>15分</w:t>
            </w:r>
          </w:p>
        </w:tc>
        <w:tc>
          <w:tcPr>
            <w:tcW w:w="2126" w:type="dxa"/>
            <w:tcBorders>
              <w:top w:val="nil"/>
              <w:left w:val="nil"/>
              <w:bottom w:val="single" w:color="000000" w:sz="4" w:space="0"/>
              <w:right w:val="single" w:color="000000" w:sz="4" w:space="0"/>
            </w:tcBorders>
            <w:tcMar>
              <w:top w:w="0" w:type="dxa"/>
              <w:left w:w="105" w:type="dxa"/>
              <w:bottom w:w="0" w:type="dxa"/>
              <w:right w:w="105" w:type="dxa"/>
            </w:tcMar>
          </w:tcPr>
          <w:p w14:paraId="3F8708ED">
            <w:pPr>
              <w:pStyle w:val="7"/>
              <w:jc w:val="both"/>
              <w:rPr>
                <w:rFonts w:hint="default"/>
              </w:rPr>
            </w:pPr>
            <w:r>
              <w:t>有效投诉，每次扣5分</w:t>
            </w:r>
          </w:p>
        </w:tc>
        <w:tc>
          <w:tcPr>
            <w:tcW w:w="1276" w:type="dxa"/>
            <w:tcBorders>
              <w:top w:val="nil"/>
              <w:left w:val="nil"/>
              <w:bottom w:val="single" w:color="000000" w:sz="4" w:space="0"/>
              <w:right w:val="single" w:color="000000" w:sz="4" w:space="0"/>
            </w:tcBorders>
            <w:tcMar>
              <w:top w:w="0" w:type="dxa"/>
              <w:left w:w="105" w:type="dxa"/>
              <w:bottom w:w="0" w:type="dxa"/>
              <w:right w:w="105" w:type="dxa"/>
            </w:tcMar>
          </w:tcPr>
          <w:p w14:paraId="2CE65562"/>
        </w:tc>
      </w:tr>
      <w:tr w14:paraId="0AAF169D">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800" w:type="dxa"/>
            <w:vMerge w:val="continue"/>
            <w:tcBorders>
              <w:top w:val="nil"/>
              <w:left w:val="single" w:color="000000" w:sz="4" w:space="0"/>
              <w:bottom w:val="single" w:color="000000" w:sz="4" w:space="0"/>
              <w:right w:val="single" w:color="000000" w:sz="4" w:space="0"/>
            </w:tcBorders>
          </w:tcPr>
          <w:p w14:paraId="4C8A3E55"/>
        </w:tc>
        <w:tc>
          <w:tcPr>
            <w:tcW w:w="800" w:type="dxa"/>
            <w:tcBorders>
              <w:top w:val="nil"/>
              <w:left w:val="nil"/>
              <w:bottom w:val="single" w:color="000000" w:sz="4" w:space="0"/>
              <w:right w:val="single" w:color="000000" w:sz="4" w:space="0"/>
            </w:tcBorders>
            <w:tcMar>
              <w:top w:w="0" w:type="dxa"/>
              <w:left w:w="105" w:type="dxa"/>
              <w:bottom w:w="0" w:type="dxa"/>
              <w:right w:w="105" w:type="dxa"/>
            </w:tcMar>
          </w:tcPr>
          <w:p w14:paraId="73D88DEA">
            <w:pPr>
              <w:pStyle w:val="7"/>
              <w:jc w:val="center"/>
              <w:rPr>
                <w:rFonts w:hint="default"/>
              </w:rPr>
            </w:pPr>
            <w:r>
              <w:t>持续改进情况</w:t>
            </w:r>
          </w:p>
        </w:tc>
        <w:tc>
          <w:tcPr>
            <w:tcW w:w="2506" w:type="dxa"/>
            <w:tcBorders>
              <w:top w:val="nil"/>
              <w:left w:val="nil"/>
              <w:bottom w:val="single" w:color="000000" w:sz="4" w:space="0"/>
              <w:right w:val="single" w:color="000000" w:sz="4" w:space="0"/>
            </w:tcBorders>
            <w:tcMar>
              <w:top w:w="0" w:type="dxa"/>
              <w:left w:w="105" w:type="dxa"/>
              <w:bottom w:w="0" w:type="dxa"/>
              <w:right w:w="105" w:type="dxa"/>
            </w:tcMar>
          </w:tcPr>
          <w:p w14:paraId="570CBAD0">
            <w:pPr>
              <w:pStyle w:val="7"/>
              <w:jc w:val="both"/>
              <w:rPr>
                <w:rFonts w:hint="default"/>
              </w:rPr>
            </w:pPr>
            <w:r>
              <w:t>采购人要求整改事项在规定限期内整改完毕。</w:t>
            </w:r>
          </w:p>
        </w:tc>
        <w:tc>
          <w:tcPr>
            <w:tcW w:w="709" w:type="dxa"/>
            <w:tcBorders>
              <w:top w:val="nil"/>
              <w:left w:val="nil"/>
              <w:bottom w:val="single" w:color="000000" w:sz="4" w:space="0"/>
              <w:right w:val="single" w:color="000000" w:sz="4" w:space="0"/>
            </w:tcBorders>
            <w:tcMar>
              <w:top w:w="0" w:type="dxa"/>
              <w:left w:w="105" w:type="dxa"/>
              <w:bottom w:w="0" w:type="dxa"/>
              <w:right w:w="105" w:type="dxa"/>
            </w:tcMar>
          </w:tcPr>
          <w:p w14:paraId="53A3A94E">
            <w:pPr>
              <w:pStyle w:val="7"/>
              <w:jc w:val="center"/>
              <w:rPr>
                <w:rFonts w:hint="default"/>
              </w:rPr>
            </w:pPr>
            <w:r>
              <w:t>15分</w:t>
            </w:r>
          </w:p>
        </w:tc>
        <w:tc>
          <w:tcPr>
            <w:tcW w:w="2126" w:type="dxa"/>
            <w:tcBorders>
              <w:top w:val="nil"/>
              <w:left w:val="nil"/>
              <w:bottom w:val="single" w:color="000000" w:sz="4" w:space="0"/>
              <w:right w:val="single" w:color="000000" w:sz="4" w:space="0"/>
            </w:tcBorders>
            <w:tcMar>
              <w:top w:w="0" w:type="dxa"/>
              <w:left w:w="105" w:type="dxa"/>
              <w:bottom w:w="0" w:type="dxa"/>
              <w:right w:w="105" w:type="dxa"/>
            </w:tcMar>
          </w:tcPr>
          <w:p w14:paraId="79345D6F">
            <w:pPr>
              <w:pStyle w:val="7"/>
              <w:jc w:val="both"/>
              <w:rPr>
                <w:rFonts w:hint="default"/>
              </w:rPr>
            </w:pPr>
            <w:r>
              <w:t>超出规定期限整改的，每次扣5分</w:t>
            </w:r>
          </w:p>
        </w:tc>
        <w:tc>
          <w:tcPr>
            <w:tcW w:w="1276" w:type="dxa"/>
            <w:tcBorders>
              <w:top w:val="nil"/>
              <w:left w:val="nil"/>
              <w:bottom w:val="single" w:color="000000" w:sz="4" w:space="0"/>
              <w:right w:val="single" w:color="000000" w:sz="4" w:space="0"/>
            </w:tcBorders>
            <w:tcMar>
              <w:top w:w="0" w:type="dxa"/>
              <w:left w:w="105" w:type="dxa"/>
              <w:bottom w:w="0" w:type="dxa"/>
              <w:right w:w="105" w:type="dxa"/>
            </w:tcMar>
          </w:tcPr>
          <w:p w14:paraId="75102018"/>
        </w:tc>
      </w:tr>
    </w:tbl>
    <w:p w14:paraId="045E61E2">
      <w:pPr>
        <w:pStyle w:val="7"/>
        <w:jc w:val="both"/>
        <w:rPr>
          <w:rFonts w:hint="default"/>
        </w:rPr>
      </w:pPr>
      <w:r>
        <w:rPr>
          <w:sz w:val="21"/>
        </w:rPr>
        <w:t>注：采购人对中标供应商每季度进行服务质量考核，季度考核评分100为满分，综合评分达90分或以上为合格；中标供应商考评分当季度≥80分而&lt;90分的，每少1分扣800元；中标供应商考评分当月≥70分而&lt;80分的，每少1分扣1000元。扣罚款采购人在次月</w:t>
      </w:r>
      <w:r>
        <w:rPr>
          <w:sz w:val="21"/>
          <w:lang w:eastAsia="zh-CN"/>
        </w:rPr>
        <w:t>结算时</w:t>
      </w:r>
      <w:r>
        <w:rPr>
          <w:sz w:val="21"/>
        </w:rPr>
        <w:t>直接扣减。</w:t>
      </w:r>
    </w:p>
    <w:p w14:paraId="0FE462CC">
      <w:pPr>
        <w:pStyle w:val="7"/>
        <w:jc w:val="both"/>
        <w:rPr>
          <w:rFonts w:hint="default"/>
        </w:rPr>
      </w:pPr>
      <w:r>
        <w:rPr>
          <w:sz w:val="21"/>
        </w:rPr>
        <w:t xml:space="preserve">  </w:t>
      </w:r>
    </w:p>
    <w:p w14:paraId="19B2995E">
      <w:pPr>
        <w:tabs>
          <w:tab w:val="left" w:pos="840"/>
          <w:tab w:val="left" w:pos="126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ind w:firstLine="360" w:firstLineChars="150"/>
        <w:rPr>
          <w:rFonts w:ascii="宋体" w:hAnsi="宋体"/>
          <w:sz w:val="24"/>
        </w:rPr>
      </w:pPr>
      <w:r>
        <w:rPr>
          <w:rFonts w:hint="eastAsia"/>
          <w:b/>
          <w:sz w:val="24"/>
        </w:rPr>
        <w:t>（</w:t>
      </w:r>
      <w:r>
        <w:rPr>
          <w:b/>
          <w:sz w:val="24"/>
        </w:rPr>
        <w:t>七</w:t>
      </w:r>
      <w:r>
        <w:rPr>
          <w:rFonts w:hint="eastAsia"/>
          <w:b/>
          <w:sz w:val="24"/>
        </w:rPr>
        <w:t>）</w:t>
      </w:r>
      <w:r>
        <w:rPr>
          <w:rFonts w:hint="eastAsia" w:ascii="宋体" w:hAnsi="宋体"/>
          <w:b/>
          <w:sz w:val="24"/>
        </w:rPr>
        <w:t>结算方式</w:t>
      </w:r>
    </w:p>
    <w:p w14:paraId="06FCBA74">
      <w:pPr>
        <w:pStyle w:val="7"/>
        <w:ind w:firstLine="480" w:firstLineChars="200"/>
        <w:rPr>
          <w:rFonts w:hint="default"/>
          <w:b/>
          <w:sz w:val="24"/>
          <w:szCs w:val="24"/>
        </w:rPr>
      </w:pPr>
      <w:r>
        <w:rPr>
          <w:rFonts w:ascii="宋体" w:hAnsi="宋体" w:cs="宋体"/>
          <w:sz w:val="24"/>
        </w:rPr>
        <w:t>按月</w:t>
      </w:r>
      <w:r>
        <w:rPr>
          <w:rFonts w:ascii="宋体" w:hAnsi="宋体" w:cs="宋体"/>
          <w:sz w:val="24"/>
          <w:lang w:eastAsia="zh-CN"/>
        </w:rPr>
        <w:t>按实</w:t>
      </w:r>
      <w:r>
        <w:rPr>
          <w:rFonts w:ascii="宋体" w:hAnsi="宋体" w:cs="宋体"/>
          <w:sz w:val="24"/>
        </w:rPr>
        <w:t>结算，</w:t>
      </w:r>
      <w:r>
        <w:rPr>
          <w:rFonts w:ascii="宋体" w:hAnsi="宋体" w:cs="宋体"/>
          <w:sz w:val="24"/>
          <w:lang w:eastAsia="zh-CN"/>
        </w:rPr>
        <w:t>中标人</w:t>
      </w:r>
      <w:r>
        <w:rPr>
          <w:rFonts w:ascii="宋体" w:hAnsi="宋体" w:cs="宋体"/>
          <w:sz w:val="24"/>
        </w:rPr>
        <w:t>在每月10日前凭</w:t>
      </w:r>
      <w:r>
        <w:rPr>
          <w:rFonts w:ascii="宋体" w:hAnsi="宋体" w:cs="宋体"/>
          <w:sz w:val="24"/>
          <w:lang w:eastAsia="zh-CN"/>
        </w:rPr>
        <w:t>采购人</w:t>
      </w:r>
      <w:r>
        <w:rPr>
          <w:rFonts w:ascii="宋体" w:hAnsi="宋体" w:cs="宋体"/>
          <w:sz w:val="24"/>
        </w:rPr>
        <w:t>主管科室签收凭证、发票向甲方申请支付上一个月的货款，甲方收到乙方提交的签收凭证、发票，核对无误后在</w:t>
      </w:r>
      <w:r>
        <w:rPr>
          <w:rFonts w:hint="default" w:ascii="宋体" w:hAnsi="宋体" w:cs="宋体"/>
          <w:sz w:val="24"/>
        </w:rPr>
        <w:t>60</w:t>
      </w:r>
      <w:r>
        <w:rPr>
          <w:rFonts w:ascii="宋体" w:hAnsi="宋体" w:cs="宋体"/>
          <w:sz w:val="24"/>
          <w:lang w:eastAsia="zh-CN"/>
        </w:rPr>
        <w:t>日</w:t>
      </w:r>
      <w:r>
        <w:rPr>
          <w:rFonts w:ascii="宋体" w:hAnsi="宋体" w:cs="宋体"/>
          <w:sz w:val="24"/>
        </w:rPr>
        <w:t>内办理货款支付手续，以支票或转帐方式支付货款。</w:t>
      </w:r>
      <w:r>
        <w:rPr>
          <w:rFonts w:ascii="宋体" w:hAnsi="宋体"/>
          <w:sz w:val="24"/>
        </w:rPr>
        <w:t>乙方不得使用虚假发票凭证，不得通过第三方结算，否则，甲方拒绝付款。</w:t>
      </w:r>
    </w:p>
    <w:p w14:paraId="56E28221">
      <w:pPr>
        <w:pStyle w:val="7"/>
        <w:rPr>
          <w:rFonts w:hint="default"/>
          <w:sz w:val="24"/>
          <w:szCs w:val="24"/>
        </w:rPr>
      </w:pPr>
    </w:p>
    <w:p w14:paraId="2F2A23EB">
      <w:pPr>
        <w:rPr>
          <w:sz w:val="24"/>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等线">
    <w:panose1 w:val="02010600030101010101"/>
    <w:charset w:val="86"/>
    <w:family w:val="auto"/>
    <w:pitch w:val="default"/>
    <w:sig w:usb0="A00002BF" w:usb1="38CF7CFA" w:usb2="00000016" w:usb3="00000000" w:csb0="0004000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498C421B"/>
    <w:multiLevelType w:val="multilevel"/>
    <w:tmpl w:val="498C421B"/>
    <w:lvl w:ilvl="0" w:tentative="0">
      <w:start w:val="1"/>
      <w:numFmt w:val="japaneseCounting"/>
      <w:lvlText w:val="%1、"/>
      <w:lvlJc w:val="left"/>
      <w:pPr>
        <w:ind w:left="390" w:hanging="39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678FD"/>
    <w:rsid w:val="0006678F"/>
    <w:rsid w:val="000C5C65"/>
    <w:rsid w:val="001067F4"/>
    <w:rsid w:val="0011771F"/>
    <w:rsid w:val="00135D98"/>
    <w:rsid w:val="00153816"/>
    <w:rsid w:val="001A1AE2"/>
    <w:rsid w:val="001D6A7F"/>
    <w:rsid w:val="00210A0C"/>
    <w:rsid w:val="00281725"/>
    <w:rsid w:val="002D2B71"/>
    <w:rsid w:val="004439B7"/>
    <w:rsid w:val="0049345C"/>
    <w:rsid w:val="0064486C"/>
    <w:rsid w:val="006678FD"/>
    <w:rsid w:val="007516EB"/>
    <w:rsid w:val="0076308D"/>
    <w:rsid w:val="00775DD6"/>
    <w:rsid w:val="008F5F59"/>
    <w:rsid w:val="00AA04B6"/>
    <w:rsid w:val="00B05F51"/>
    <w:rsid w:val="00CA4C84"/>
    <w:rsid w:val="00CB3B07"/>
    <w:rsid w:val="00E13D29"/>
    <w:rsid w:val="00EE5038"/>
    <w:rsid w:val="00FC771E"/>
    <w:rsid w:val="72996AC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qFormat="1"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6">
    <w:name w:val="Default Paragraph Font"/>
    <w:semiHidden/>
    <w:unhideWhenUsed/>
    <w:qFormat/>
    <w:uiPriority w:val="1"/>
  </w:style>
  <w:style w:type="table" w:default="1" w:styleId="5">
    <w:name w:val="Normal Table"/>
    <w:semiHidden/>
    <w:unhideWhenUsed/>
    <w:qFormat/>
    <w:uiPriority w:val="99"/>
    <w:tblPr>
      <w:tblCellMar>
        <w:top w:w="0" w:type="dxa"/>
        <w:left w:w="108" w:type="dxa"/>
        <w:bottom w:w="0" w:type="dxa"/>
        <w:right w:w="108" w:type="dxa"/>
      </w:tblCellMar>
    </w:tblPr>
  </w:style>
  <w:style w:type="paragraph" w:styleId="2">
    <w:name w:val="Body Text Indent"/>
    <w:basedOn w:val="1"/>
    <w:link w:val="8"/>
    <w:semiHidden/>
    <w:unhideWhenUsed/>
    <w:qFormat/>
    <w:uiPriority w:val="99"/>
    <w:pPr>
      <w:spacing w:after="120"/>
      <w:ind w:left="420" w:leftChars="200"/>
    </w:pPr>
    <w:rPr>
      <w:rFonts w:ascii="Times New Roman" w:hAnsi="Times New Roman" w:eastAsia="宋体" w:cs="Times New Roman"/>
    </w:rPr>
  </w:style>
  <w:style w:type="paragraph" w:styleId="3">
    <w:name w:val="footer"/>
    <w:basedOn w:val="1"/>
    <w:link w:val="10"/>
    <w:unhideWhenUsed/>
    <w:qFormat/>
    <w:uiPriority w:val="99"/>
    <w:pPr>
      <w:tabs>
        <w:tab w:val="center" w:pos="4153"/>
        <w:tab w:val="right" w:pos="8306"/>
      </w:tabs>
      <w:snapToGrid w:val="0"/>
      <w:jc w:val="left"/>
    </w:pPr>
    <w:rPr>
      <w:sz w:val="18"/>
      <w:szCs w:val="18"/>
    </w:rPr>
  </w:style>
  <w:style w:type="paragraph" w:styleId="4">
    <w:name w:val="header"/>
    <w:basedOn w:val="1"/>
    <w:link w:val="9"/>
    <w:unhideWhenUsed/>
    <w:qFormat/>
    <w:uiPriority w:val="99"/>
    <w:pPr>
      <w:pBdr>
        <w:bottom w:val="single" w:color="auto" w:sz="6" w:space="1"/>
      </w:pBdr>
      <w:tabs>
        <w:tab w:val="center" w:pos="4153"/>
        <w:tab w:val="right" w:pos="8306"/>
      </w:tabs>
      <w:snapToGrid w:val="0"/>
      <w:jc w:val="center"/>
    </w:pPr>
    <w:rPr>
      <w:sz w:val="18"/>
      <w:szCs w:val="18"/>
    </w:rPr>
  </w:style>
  <w:style w:type="paragraph" w:customStyle="1" w:styleId="7">
    <w:name w:val="null3"/>
    <w:hidden/>
    <w:qFormat/>
    <w:uiPriority w:val="0"/>
    <w:rPr>
      <w:rFonts w:hint="eastAsia" w:asciiTheme="minorHAnsi" w:hAnsiTheme="minorHAnsi" w:eastAsiaTheme="minorEastAsia" w:cstheme="minorBidi"/>
      <w:kern w:val="0"/>
      <w:sz w:val="20"/>
      <w:szCs w:val="20"/>
      <w:lang w:val="en-US" w:eastAsia="zh-Hans" w:bidi="ar-SA"/>
    </w:rPr>
  </w:style>
  <w:style w:type="character" w:customStyle="1" w:styleId="8">
    <w:name w:val="正文文本缩进 字符"/>
    <w:basedOn w:val="6"/>
    <w:link w:val="2"/>
    <w:semiHidden/>
    <w:qFormat/>
    <w:uiPriority w:val="99"/>
    <w:rPr>
      <w:rFonts w:ascii="Times New Roman" w:hAnsi="Times New Roman" w:eastAsia="宋体" w:cs="Times New Roman"/>
      <w:szCs w:val="24"/>
    </w:rPr>
  </w:style>
  <w:style w:type="character" w:customStyle="1" w:styleId="9">
    <w:name w:val="页眉 字符"/>
    <w:basedOn w:val="6"/>
    <w:link w:val="4"/>
    <w:qFormat/>
    <w:uiPriority w:val="99"/>
    <w:rPr>
      <w:sz w:val="18"/>
      <w:szCs w:val="18"/>
    </w:rPr>
  </w:style>
  <w:style w:type="character" w:customStyle="1" w:styleId="10">
    <w:name w:val="页脚 字符"/>
    <w:basedOn w:val="6"/>
    <w:link w:val="3"/>
    <w:qFormat/>
    <w:uiPriority w:val="99"/>
    <w:rPr>
      <w:sz w:val="18"/>
      <w:szCs w:val="18"/>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Pages>6</Pages>
  <Words>2900</Words>
  <Characters>3240</Characters>
  <Lines>25</Lines>
  <Paragraphs>7</Paragraphs>
  <TotalTime>153</TotalTime>
  <ScaleCrop>false</ScaleCrop>
  <LinksUpToDate>false</LinksUpToDate>
  <CharactersWithSpaces>3253</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2026-03-23T08:14:00Z</dcterms:created>
  <dc:creator>Administrator</dc:creator>
  <cp:lastModifiedBy>An apple a day can't</cp:lastModifiedBy>
  <dcterms:modified xsi:type="dcterms:W3CDTF">2026-03-24T09:08:45Z</dcterms:modified>
  <cp:revision>8</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F12A84F0CDF84C3BBD6B5C6CEF1524F4_13</vt:lpwstr>
  </property>
</Properties>
</file>