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6064">
      <w:pPr>
        <w:spacing w:line="360" w:lineRule="auto"/>
        <w:rPr>
          <w:rFonts w:ascii="宋体" w:hAnsi="宋体" w:eastAsia="宋体"/>
          <w:b/>
          <w:sz w:val="28"/>
          <w:szCs w:val="28"/>
        </w:rPr>
      </w:pPr>
      <w:r>
        <w:rPr>
          <w:rFonts w:hint="eastAsia" w:ascii="宋体" w:hAnsi="宋体" w:eastAsia="宋体"/>
          <w:b/>
          <w:sz w:val="28"/>
          <w:szCs w:val="28"/>
        </w:rPr>
        <w:t>一、项目名称</w:t>
      </w:r>
    </w:p>
    <w:p w14:paraId="5894FD77">
      <w:pPr>
        <w:spacing w:line="360" w:lineRule="auto"/>
        <w:rPr>
          <w:rFonts w:hint="default" w:ascii="宋体" w:hAnsi="宋体" w:eastAsia="宋体"/>
          <w:sz w:val="24"/>
          <w:szCs w:val="24"/>
          <w:lang w:val="en-US" w:eastAsia="zh-CN"/>
        </w:rPr>
      </w:pPr>
      <w:r>
        <w:rPr>
          <w:rFonts w:ascii="宋体" w:hAnsi="宋体" w:eastAsia="宋体"/>
          <w:sz w:val="24"/>
          <w:szCs w:val="24"/>
        </w:rPr>
        <w:t>中山大学附属第六医院</w:t>
      </w:r>
      <w:r>
        <w:rPr>
          <w:rFonts w:hint="eastAsia" w:ascii="宋体" w:hAnsi="宋体" w:eastAsia="宋体"/>
          <w:sz w:val="24"/>
          <w:szCs w:val="24"/>
        </w:rPr>
        <w:t>202</w:t>
      </w:r>
      <w:r>
        <w:rPr>
          <w:rFonts w:hint="eastAsia" w:ascii="宋体" w:hAnsi="宋体" w:eastAsia="宋体"/>
          <w:sz w:val="24"/>
          <w:szCs w:val="24"/>
          <w:lang w:val="en-US" w:eastAsia="zh-CN"/>
        </w:rPr>
        <w:t>6</w:t>
      </w:r>
      <w:r>
        <w:rPr>
          <w:rFonts w:hint="eastAsia" w:ascii="宋体" w:hAnsi="宋体" w:eastAsia="宋体"/>
          <w:sz w:val="24"/>
          <w:szCs w:val="24"/>
        </w:rPr>
        <w:t>-202</w:t>
      </w:r>
      <w:r>
        <w:rPr>
          <w:rFonts w:hint="eastAsia" w:ascii="宋体" w:hAnsi="宋体" w:eastAsia="宋体"/>
          <w:sz w:val="24"/>
          <w:szCs w:val="24"/>
          <w:lang w:val="en-US" w:eastAsia="zh-CN"/>
        </w:rPr>
        <w:t>9年</w:t>
      </w:r>
      <w:r>
        <w:rPr>
          <w:rFonts w:hint="eastAsia" w:ascii="宋体" w:hAnsi="宋体" w:eastAsia="宋体" w:cs="宋体"/>
          <w:b w:val="0"/>
          <w:bCs w:val="0"/>
          <w:sz w:val="24"/>
          <w:szCs w:val="24"/>
          <w:lang w:val="en-US" w:eastAsia="zh-CN"/>
        </w:rPr>
        <w:t>病媒生物预防控制服务</w:t>
      </w:r>
      <w:r>
        <w:rPr>
          <w:rFonts w:ascii="宋体" w:hAnsi="宋体" w:eastAsia="宋体"/>
          <w:sz w:val="24"/>
          <w:szCs w:val="24"/>
        </w:rPr>
        <w:t>项目</w:t>
      </w:r>
      <w:r>
        <w:rPr>
          <w:rFonts w:hint="eastAsia" w:ascii="宋体" w:hAnsi="宋体" w:eastAsia="宋体"/>
          <w:sz w:val="24"/>
          <w:szCs w:val="24"/>
          <w:lang w:val="en-US" w:eastAsia="zh-CN"/>
        </w:rPr>
        <w:t>调研公告</w:t>
      </w:r>
    </w:p>
    <w:p w14:paraId="3B20EAA9">
      <w:pPr>
        <w:numPr>
          <w:ilvl w:val="0"/>
          <w:numId w:val="1"/>
        </w:numPr>
        <w:spacing w:line="360" w:lineRule="auto"/>
        <w:rPr>
          <w:rFonts w:hint="eastAsia" w:ascii="宋体" w:hAnsi="宋体" w:eastAsia="宋体" w:cs="宋体"/>
          <w:b w:val="0"/>
          <w:bCs/>
          <w:sz w:val="24"/>
          <w:szCs w:val="24"/>
          <w:highlight w:val="none"/>
          <w:lang w:val="en-US" w:eastAsia="zh-CN"/>
        </w:rPr>
      </w:pPr>
      <w:r>
        <w:rPr>
          <w:rFonts w:hint="eastAsia" w:ascii="宋体" w:hAnsi="宋体" w:eastAsia="宋体" w:cs="宋体"/>
          <w:b/>
          <w:sz w:val="28"/>
          <w:szCs w:val="28"/>
          <w:lang w:eastAsia="zh-CN"/>
        </w:rPr>
        <w:t>服务要求</w:t>
      </w:r>
    </w:p>
    <w:p w14:paraId="152A4C6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（一）</w:t>
      </w:r>
      <w:r>
        <w:rPr>
          <w:rFonts w:hint="eastAsia" w:ascii="宋体" w:hAnsi="宋体" w:eastAsia="宋体" w:cs="宋体"/>
          <w:b w:val="0"/>
          <w:bCs/>
          <w:sz w:val="24"/>
          <w:szCs w:val="24"/>
          <w:highlight w:val="none"/>
          <w:lang w:eastAsia="zh-CN"/>
        </w:rPr>
        <w:t>技术服务</w:t>
      </w:r>
    </w:p>
    <w:p w14:paraId="2DA6D8A9">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 xml:space="preserve"> 1、灭蚊、灭蝇</w:t>
      </w:r>
    </w:p>
    <w:p w14:paraId="7631C8F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室内采用超低容量空间喷杀和常量滞留喷洒相结合的方法，对蚊、蝇喜欢栖藏的场所重点喷杀。应选用高效、低毒、对环境污染小的药物进行喷杀，不能直接喷洒到院内的仪器和人员身上。根据科室实际情况，可提供布放粘捕式捕蝇灯。</w:t>
      </w:r>
    </w:p>
    <w:p w14:paraId="1A7ED57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室外采用机动喷雾器和热烟雾器大面积常量喷洒，对蚊虫孳生地进行药液滞留喷洒及粉剂深层滞留处理。应选用高效、低毒、对环境污染小的药物进行喷杀，达到降低蚊蝇密度的效果。</w:t>
      </w:r>
    </w:p>
    <w:p w14:paraId="25E3DFD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2、灭蟑螂</w:t>
      </w:r>
    </w:p>
    <w:p w14:paraId="7A1E3FF9">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在蟑螂栖藏的缝隙和角落进行药物处理，对下水道、沙井、垃圾场等进行热烟雾大面积常量喷杀，不可喷洒到仪器和人员身上，部分缝隙和角落应选用特定药物进行诱杀，确保降低蟑螂密度的效果，保证药性对人畜危害性小、安全、环保。</w:t>
      </w:r>
    </w:p>
    <w:p w14:paraId="1D8BF517">
      <w:pPr>
        <w:keepNext w:val="0"/>
        <w:keepLines w:val="0"/>
        <w:widowControl/>
        <w:suppressLineNumbers w:val="0"/>
        <w:spacing w:before="0" w:beforeAutospacing="0" w:after="0" w:afterAutospacing="0" w:line="240" w:lineRule="auto"/>
        <w:ind w:left="0" w:right="0" w:firstLine="480" w:firstLineChars="200"/>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3、灭鼠</w:t>
      </w:r>
    </w:p>
    <w:p w14:paraId="092F98D7">
      <w:pPr>
        <w:numPr>
          <w:ilvl w:val="0"/>
          <w:numId w:val="0"/>
        </w:numPr>
        <w:spacing w:line="360" w:lineRule="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采取设置防鼠闸，堵塞鼠洞，放置鼠药、粘鼠胶、鼠笼、鼠夹等措施进行防制，外围下水道用粘鼠胶及各种器械处理，严禁使用自配药。</w:t>
      </w:r>
    </w:p>
    <w:p w14:paraId="38462C4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4、白蚁</w:t>
      </w:r>
    </w:p>
    <w:p w14:paraId="4CBE1DF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对合同项目范围发现白蚁时进行检查、灭治，并进一步做预防。</w:t>
      </w:r>
    </w:p>
    <w:p w14:paraId="62E1F704">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1）全面普查：合同签订后一周内进行一次全面普查，进行预防性施药并存在隐患的区域进行彻底灭治，并有记录交甲方。</w:t>
      </w:r>
    </w:p>
    <w:p w14:paraId="56BEC9E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2）定期检查：每个月对服务范围内进行全面检查。</w:t>
      </w:r>
    </w:p>
    <w:p w14:paraId="75F608BA">
      <w:pPr>
        <w:pStyle w:val="13"/>
        <w:spacing w:line="360" w:lineRule="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5、特定区域驱蛇</w:t>
      </w:r>
    </w:p>
    <w:p w14:paraId="2AC20BD2">
      <w:pPr>
        <w:pStyle w:val="13"/>
        <w:spacing w:line="360" w:lineRule="auto"/>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z w:val="24"/>
          <w:szCs w:val="24"/>
          <w:lang w:val="en-US" w:eastAsia="zh-CN"/>
        </w:rPr>
        <w:t>物理拦截、驱赶为主、捕抓次之。</w:t>
      </w:r>
    </w:p>
    <w:p w14:paraId="33EF196A">
      <w:pPr>
        <w:pStyle w:val="9"/>
        <w:spacing w:line="360" w:lineRule="auto"/>
        <w:ind w:firstLine="240" w:firstLineChars="10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（二）使用药物</w:t>
      </w:r>
    </w:p>
    <w:p w14:paraId="058E91FC">
      <w:pPr>
        <w:pStyle w:val="4"/>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所使用的药物需具备“三证”，符合“高效、低毒、无污染”的要求，严禁使用自配药、急性药或其他明文禁用药物，严格遵守操作规程，处理完个案灭害后要做好记录及对当事科室做好宣传工作，禁止触碰。</w:t>
      </w:r>
    </w:p>
    <w:p w14:paraId="4CED4227">
      <w:pPr>
        <w:pStyle w:val="20"/>
        <w:numPr>
          <w:ilvl w:val="0"/>
          <w:numId w:val="0"/>
        </w:numPr>
        <w:tabs>
          <w:tab w:val="left" w:pos="1195"/>
        </w:tabs>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二、服务</w:t>
      </w:r>
      <w:r>
        <w:rPr>
          <w:rFonts w:hint="eastAsia" w:ascii="宋体" w:hAnsi="宋体" w:eastAsia="宋体" w:cs="宋体"/>
          <w:b w:val="0"/>
          <w:bCs w:val="0"/>
          <w:sz w:val="24"/>
          <w:szCs w:val="24"/>
          <w:highlight w:val="none"/>
          <w:lang w:eastAsia="zh-CN"/>
        </w:rPr>
        <w:t>响应需求：</w:t>
      </w:r>
    </w:p>
    <w:p w14:paraId="717F6FA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kern w:val="0"/>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1.控制鼠、蚊、蝇、蟑螂、白蚁有害生物密度。</w:t>
      </w:r>
    </w:p>
    <w:p w14:paraId="65C3A62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000000" w:themeColor="text1"/>
          <w:kern w:val="0"/>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2.协助做好卫生基础设施和防鼠防蝇措施。</w:t>
      </w:r>
    </w:p>
    <w:p w14:paraId="6BBFEFE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3.消杀地点、频次、面积、内容：</w:t>
      </w:r>
    </w:p>
    <w:p w14:paraId="59684E19">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drawing>
          <wp:inline distT="0" distB="0" distL="114300" distR="114300">
            <wp:extent cx="5421630" cy="4448175"/>
            <wp:effectExtent l="0" t="0" r="762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421630" cy="4448175"/>
                    </a:xfrm>
                    <a:prstGeom prst="rect">
                      <a:avLst/>
                    </a:prstGeom>
                    <a:noFill/>
                    <a:ln>
                      <a:noFill/>
                    </a:ln>
                  </pic:spPr>
                </pic:pic>
              </a:graphicData>
            </a:graphic>
          </wp:inline>
        </w:drawing>
      </w:r>
    </w:p>
    <w:p w14:paraId="32B556DA">
      <w:pPr>
        <w:keepNext w:val="0"/>
        <w:keepLines w:val="0"/>
        <w:widowControl w:val="0"/>
        <w:numPr>
          <w:ilvl w:val="0"/>
          <w:numId w:val="2"/>
        </w:numPr>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lang w:eastAsia="zh-CN"/>
          <w14:textFill>
            <w14:solidFill>
              <w14:schemeClr w14:val="tx1"/>
            </w14:solidFill>
          </w14:textFill>
        </w:rPr>
        <w:t>每次作业人数不少于</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人，作业时间不低于</w:t>
      </w:r>
      <w:r>
        <w:rPr>
          <w:rFonts w:hint="eastAsia" w:ascii="宋体" w:hAnsi="宋体" w:eastAsia="宋体" w:cs="宋体"/>
          <w:b w:val="0"/>
          <w:bCs w:val="0"/>
          <w:color w:val="000000" w:themeColor="text1"/>
          <w:sz w:val="24"/>
          <w:szCs w:val="24"/>
          <w:lang w:val="en-US" w:eastAsia="zh-CN"/>
          <w14:textFill>
            <w14:solidFill>
              <w14:schemeClr w14:val="tx1"/>
            </w14:solidFill>
          </w14:textFill>
        </w:rPr>
        <w:t>3小时。</w:t>
      </w:r>
      <w:r>
        <w:rPr>
          <w:rFonts w:hint="eastAsia" w:ascii="宋体" w:hAnsi="宋体" w:eastAsia="宋体" w:cs="宋体"/>
          <w:b w:val="0"/>
          <w:bCs w:val="0"/>
          <w:sz w:val="24"/>
          <w:szCs w:val="24"/>
        </w:rPr>
        <w:t>特殊情况适当增加服务频率；</w:t>
      </w:r>
      <w:r>
        <w:rPr>
          <w:rFonts w:hint="eastAsia" w:ascii="宋体" w:hAnsi="宋体" w:eastAsia="宋体" w:cs="宋体"/>
          <w:b w:val="0"/>
          <w:bCs w:val="0"/>
          <w:sz w:val="24"/>
          <w:szCs w:val="24"/>
          <w:lang w:eastAsia="zh-CN"/>
        </w:rPr>
        <w:t>遇</w:t>
      </w:r>
      <w:r>
        <w:rPr>
          <w:rFonts w:hint="eastAsia" w:ascii="宋体" w:hAnsi="宋体" w:eastAsia="宋体" w:cs="宋体"/>
          <w:b w:val="0"/>
          <w:bCs w:val="0"/>
          <w:sz w:val="24"/>
          <w:szCs w:val="24"/>
        </w:rPr>
        <w:t>突发情况，24小时内到场处理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突发情况到场人数要求≥1人，突发情况次数大于每月应施工次数1倍后的每一次服务医院支付300元服务费（1倍注释：合同约定次数*2）。</w:t>
      </w:r>
    </w:p>
    <w:p w14:paraId="0112B938">
      <w:pPr>
        <w:pStyle w:val="2"/>
        <w:bidi w:val="0"/>
        <w:rPr>
          <w:rFonts w:hint="eastAsia"/>
          <w:lang w:val="en-US" w:eastAsia="zh-CN"/>
        </w:rPr>
      </w:pPr>
      <w:r>
        <w:rPr>
          <w:rFonts w:hint="eastAsia"/>
          <w:lang w:val="en-US" w:eastAsia="zh-CN"/>
        </w:rPr>
        <w:t>三、其他要求</w:t>
      </w:r>
    </w:p>
    <w:p w14:paraId="3B4C3C1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1.采用包工包料的消杀服务方式。</w:t>
      </w:r>
    </w:p>
    <w:p w14:paraId="16DB2B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2.必须持有政府主管部门签发的除“有害生物”服务许可证和消杀人员上岗证。</w:t>
      </w:r>
    </w:p>
    <w:p w14:paraId="72F2302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3.严格按当地政府（含：市、区、街道爱卫办）关于除“有害生物”的管理规定执行消杀服务，达到消杀效果，做好消杀记录（一次服务不少于三张人、景、工具均齐全水印相机拍摄彩色照片，含入场时间，离场时间），消杀记录一式三份，包含一份电子版，按季度装订成册（彩色）。</w:t>
      </w:r>
    </w:p>
    <w:p w14:paraId="69D5CE40">
      <w:pPr>
        <w:pStyle w:val="13"/>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四、考核要求</w:t>
      </w:r>
    </w:p>
    <w:p w14:paraId="0C213C01">
      <w:pPr>
        <w:pStyle w:val="13"/>
        <w:numPr>
          <w:ilvl w:val="0"/>
          <w:numId w:val="0"/>
        </w:numPr>
        <w:spacing w:line="360" w:lineRule="auto"/>
        <w:ind w:leftChars="0"/>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1.主管科室向使用科室发放满意度评价表</w:t>
      </w:r>
      <w:r>
        <w:rPr>
          <w:rFonts w:hint="eastAsia" w:ascii="宋体" w:hAnsi="宋体" w:eastAsia="宋体" w:cs="宋体"/>
          <w:b w:val="0"/>
          <w:bCs w:val="0"/>
          <w:sz w:val="24"/>
          <w:szCs w:val="24"/>
          <w:lang w:val="en-US" w:eastAsia="zh-CN"/>
        </w:rPr>
        <w:t>（附件1：考核表）</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，对中标服务公司进行季度考核，考核平均分数为85分以下的，每少1分，扣除服务费100元；乙方连续两个季度考核低于85分的，医院有权单方解除合同。</w:t>
      </w:r>
    </w:p>
    <w:p w14:paraId="555FB0C8">
      <w:pPr>
        <w:pStyle w:val="13"/>
        <w:numPr>
          <w:ilvl w:val="0"/>
          <w:numId w:val="0"/>
        </w:numPr>
        <w:spacing w:line="360" w:lineRule="auto"/>
        <w:ind w:leftChars="0"/>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drawing>
          <wp:inline distT="0" distB="0" distL="114300" distR="114300">
            <wp:extent cx="3171825" cy="1371600"/>
            <wp:effectExtent l="0" t="0" r="9525" b="0"/>
            <wp:docPr id="1" name="图片 1" descr="考核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考核表"/>
                    <pic:cNvPicPr>
                      <a:picLocks noChangeAspect="1"/>
                    </pic:cNvPicPr>
                  </pic:nvPicPr>
                  <pic:blipFill>
                    <a:blip r:embed="rId5"/>
                    <a:stretch>
                      <a:fillRect/>
                    </a:stretch>
                  </pic:blipFill>
                  <pic:spPr>
                    <a:xfrm>
                      <a:off x="0" y="0"/>
                      <a:ext cx="3171825" cy="1371600"/>
                    </a:xfrm>
                    <a:prstGeom prst="rect">
                      <a:avLst/>
                    </a:prstGeom>
                  </pic:spPr>
                </pic:pic>
              </a:graphicData>
            </a:graphic>
          </wp:inline>
        </w:drawing>
      </w:r>
      <w:bookmarkStart w:id="0" w:name="_GoBack"/>
      <w:bookmarkEnd w:id="0"/>
    </w:p>
    <w:p w14:paraId="3B0CF61E">
      <w:pPr>
        <w:pStyle w:val="13"/>
        <w:numPr>
          <w:ilvl w:val="0"/>
          <w:numId w:val="0"/>
        </w:numPr>
        <w:spacing w:line="360" w:lineRule="auto"/>
        <w:ind w:leftChars="0" w:firstLine="3150" w:firstLineChars="1500"/>
        <w:rPr>
          <w:rFonts w:hint="eastAsia" w:ascii="宋体" w:hAnsi="宋体" w:eastAsia="宋体" w:cs="宋体"/>
          <w:b w:val="0"/>
          <w:bCs w:val="0"/>
          <w:color w:val="000000" w:themeColor="text1"/>
          <w:kern w:val="2"/>
          <w:sz w:val="21"/>
          <w:szCs w:val="21"/>
          <w:lang w:val="en-US" w:eastAsia="zh-CN"/>
          <w14:textFill>
            <w14:solidFill>
              <w14:schemeClr w14:val="tx1"/>
            </w14:solidFill>
          </w14:textFill>
        </w:rPr>
      </w:pPr>
      <w:r>
        <w:rPr>
          <w:rFonts w:hint="eastAsia" w:ascii="宋体" w:hAnsi="宋体" w:eastAsia="宋体" w:cs="宋体"/>
          <w:b w:val="0"/>
          <w:bCs w:val="0"/>
          <w:sz w:val="21"/>
          <w:szCs w:val="21"/>
          <w:lang w:val="en-US" w:eastAsia="zh-CN"/>
        </w:rPr>
        <w:t>附件1：考核表</w:t>
      </w:r>
    </w:p>
    <w:p w14:paraId="5C45D534">
      <w:pPr>
        <w:pStyle w:val="13"/>
        <w:spacing w:line="360" w:lineRule="auto"/>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2.未按照按当地政府（含：市、区、街道爱卫办）关于除“有害生物”的管理规定执行消杀服务导致医院被点名批评扣除服务费500元/次，情节严重导致医院被行政处罚扣除所在项目点当月服务费医院有权单方解除合同。</w:t>
      </w:r>
    </w:p>
    <w:p w14:paraId="3D84035B">
      <w:pPr>
        <w:pStyle w:val="13"/>
        <w:spacing w:line="360" w:lineRule="auto"/>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3.单次单点缺服务资料或服务资料提供不全，扣除服务费300元/次，合同期内出现5次以上医院有权单方解除合同。</w:t>
      </w:r>
    </w:p>
    <w:p w14:paraId="38749126">
      <w:pPr>
        <w:pStyle w:val="13"/>
        <w:spacing w:line="360" w:lineRule="auto"/>
        <w:rPr>
          <w:rFonts w:hint="eastAsia" w:ascii="宋体" w:hAnsi="宋体" w:eastAsia="宋体" w:cs="宋体"/>
          <w:b w:val="0"/>
          <w:bCs w:val="0"/>
          <w:color w:val="000000" w:themeColor="text1"/>
          <w:kern w:val="2"/>
          <w:sz w:val="24"/>
          <w:szCs w:val="24"/>
          <w:lang w:val="en-US" w:eastAsia="zh-CN"/>
          <w14:textFill>
            <w14:solidFill>
              <w14:schemeClr w14:val="tx1"/>
            </w14:solidFill>
          </w14:textFill>
        </w:rPr>
      </w:pPr>
    </w:p>
    <w:p w14:paraId="6D315204">
      <w:pPr>
        <w:pageBreakBefore w:val="0"/>
        <w:kinsoku/>
        <w:wordWrap/>
        <w:overflowPunct/>
        <w:topLinePunct w:val="0"/>
        <w:bidi w:val="0"/>
        <w:adjustRightInd w:val="0"/>
        <w:snapToGrid w:val="0"/>
        <w:spacing w:line="360" w:lineRule="auto"/>
        <w:ind w:right="0" w:rightChars="0"/>
        <w:rPr>
          <w:rFonts w:hint="eastAsia" w:ascii="宋体" w:hAnsi="宋体" w:eastAsia="宋体" w:cs="宋体"/>
          <w:b/>
          <w:bCs/>
          <w:color w:val="auto"/>
          <w:sz w:val="24"/>
          <w:szCs w:val="24"/>
          <w:lang w:val="zh-TW"/>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val="zh-TW"/>
        </w:rPr>
        <w:t>、结算方式</w:t>
      </w:r>
    </w:p>
    <w:p w14:paraId="1157D092">
      <w:pPr>
        <w:pageBreakBefore w:val="0"/>
        <w:kinsoku/>
        <w:wordWrap/>
        <w:overflowPunct/>
        <w:topLinePunct w:val="0"/>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在服务期内，</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w:t>
      </w:r>
      <w:r>
        <w:rPr>
          <w:rFonts w:hint="eastAsia" w:ascii="宋体" w:hAnsi="宋体" w:eastAsia="宋体" w:cs="宋体"/>
          <w:color w:val="auto"/>
          <w:sz w:val="24"/>
          <w:szCs w:val="24"/>
          <w:lang w:val="en-US" w:eastAsia="zh-CN"/>
        </w:rPr>
        <w:t>服务费</w:t>
      </w:r>
      <w:r>
        <w:rPr>
          <w:rFonts w:hint="eastAsia" w:ascii="宋体" w:hAnsi="宋体" w:eastAsia="宋体" w:cs="宋体"/>
          <w:color w:val="auto"/>
          <w:sz w:val="24"/>
          <w:szCs w:val="24"/>
        </w:rPr>
        <w:t>。</w:t>
      </w:r>
    </w:p>
    <w:p w14:paraId="54DF93EF">
      <w:pPr>
        <w:spacing w:line="360" w:lineRule="auto"/>
        <w:rPr>
          <w:rFonts w:ascii="宋体" w:hAnsi="宋体" w:eastAsia="宋体"/>
          <w:b/>
          <w:sz w:val="28"/>
          <w:szCs w:val="28"/>
        </w:rPr>
      </w:pPr>
      <w:r>
        <w:rPr>
          <w:rFonts w:hint="eastAsia" w:ascii="宋体" w:hAnsi="宋体" w:eastAsia="宋体"/>
          <w:b/>
          <w:sz w:val="28"/>
          <w:szCs w:val="28"/>
        </w:rPr>
        <w:t>五</w:t>
      </w:r>
      <w:r>
        <w:rPr>
          <w:rFonts w:ascii="宋体" w:hAnsi="宋体" w:eastAsia="宋体"/>
          <w:b/>
          <w:sz w:val="28"/>
          <w:szCs w:val="28"/>
        </w:rPr>
        <w:t>、</w:t>
      </w:r>
      <w:r>
        <w:rPr>
          <w:rFonts w:hint="eastAsia" w:ascii="宋体" w:hAnsi="宋体" w:eastAsia="宋体"/>
          <w:b/>
          <w:sz w:val="28"/>
          <w:szCs w:val="28"/>
        </w:rPr>
        <w:t xml:space="preserve"> 供应商资格</w:t>
      </w:r>
    </w:p>
    <w:p w14:paraId="68A9F356">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须具备《中华人民共和国政府采购法》第二十二条规定的条件；</w:t>
      </w:r>
    </w:p>
    <w:p w14:paraId="701F59A9">
      <w:pPr>
        <w:spacing w:line="360" w:lineRule="auto"/>
        <w:rPr>
          <w:rFonts w:ascii="宋体" w:hAnsi="宋体" w:eastAsia="宋体"/>
          <w:sz w:val="24"/>
          <w:szCs w:val="24"/>
        </w:rPr>
      </w:pPr>
      <w:r>
        <w:rPr>
          <w:rFonts w:hint="eastAsia" w:ascii="宋体" w:hAnsi="宋体" w:eastAsia="宋体"/>
          <w:sz w:val="24"/>
          <w:szCs w:val="24"/>
        </w:rPr>
        <w:t> ①</w:t>
      </w:r>
      <w:r>
        <w:rPr>
          <w:rFonts w:ascii="宋体" w:hAnsi="宋体" w:eastAsia="宋体"/>
          <w:sz w:val="24"/>
          <w:szCs w:val="24"/>
        </w:rPr>
        <w:t>具有独立承担民事责任的能力；</w:t>
      </w:r>
    </w:p>
    <w:p w14:paraId="1D7642B7">
      <w:pPr>
        <w:spacing w:line="360" w:lineRule="auto"/>
        <w:rPr>
          <w:rFonts w:ascii="宋体" w:hAnsi="宋体" w:eastAsia="宋体"/>
          <w:sz w:val="24"/>
          <w:szCs w:val="24"/>
        </w:rPr>
      </w:pPr>
      <w:r>
        <w:rPr>
          <w:rFonts w:hint="eastAsia" w:ascii="宋体" w:hAnsi="宋体" w:eastAsia="宋体"/>
          <w:sz w:val="24"/>
          <w:szCs w:val="24"/>
        </w:rPr>
        <w:t> ②</w:t>
      </w:r>
      <w:r>
        <w:rPr>
          <w:rFonts w:ascii="宋体" w:hAnsi="宋体" w:eastAsia="宋体"/>
          <w:sz w:val="24"/>
          <w:szCs w:val="24"/>
        </w:rPr>
        <w:t>具有良好的商业信誉和健全的财务会计制度；</w:t>
      </w:r>
    </w:p>
    <w:p w14:paraId="2DC34164">
      <w:pPr>
        <w:spacing w:line="360" w:lineRule="auto"/>
        <w:ind w:firstLine="240" w:firstLineChars="100"/>
        <w:rPr>
          <w:rFonts w:ascii="宋体" w:hAnsi="宋体" w:eastAsia="宋体"/>
          <w:sz w:val="24"/>
          <w:szCs w:val="24"/>
        </w:rPr>
      </w:pPr>
      <w:r>
        <w:rPr>
          <w:rFonts w:hint="eastAsia" w:ascii="宋体" w:hAnsi="宋体" w:eastAsia="宋体"/>
          <w:sz w:val="24"/>
          <w:szCs w:val="24"/>
        </w:rPr>
        <w:t>③</w:t>
      </w:r>
      <w:r>
        <w:rPr>
          <w:rFonts w:ascii="宋体" w:hAnsi="宋体" w:eastAsia="宋体"/>
          <w:sz w:val="24"/>
          <w:szCs w:val="24"/>
        </w:rPr>
        <w:t>具有履行合同所必需的设备和专业技术能力；</w:t>
      </w:r>
    </w:p>
    <w:p w14:paraId="1F8A40DE">
      <w:pPr>
        <w:spacing w:line="360" w:lineRule="auto"/>
        <w:ind w:firstLine="240" w:firstLineChars="100"/>
        <w:rPr>
          <w:rFonts w:ascii="宋体" w:hAnsi="宋体" w:eastAsia="宋体"/>
          <w:sz w:val="24"/>
          <w:szCs w:val="24"/>
        </w:rPr>
      </w:pPr>
      <w:r>
        <w:rPr>
          <w:rFonts w:hint="eastAsia" w:ascii="宋体" w:hAnsi="宋体" w:eastAsia="宋体"/>
          <w:sz w:val="24"/>
          <w:szCs w:val="24"/>
        </w:rPr>
        <w:t>④</w:t>
      </w:r>
      <w:r>
        <w:rPr>
          <w:rFonts w:ascii="宋体" w:hAnsi="宋体" w:eastAsia="宋体"/>
          <w:sz w:val="24"/>
          <w:szCs w:val="24"/>
        </w:rPr>
        <w:t>参加政府采购活动前三年内，在经营活动中没有重大违法记录；</w:t>
      </w:r>
    </w:p>
    <w:p w14:paraId="4D6C4C0C">
      <w:pPr>
        <w:spacing w:line="360" w:lineRule="auto"/>
        <w:ind w:firstLine="240" w:firstLineChars="100"/>
        <w:rPr>
          <w:rFonts w:ascii="宋体" w:hAnsi="宋体" w:eastAsia="宋体"/>
          <w:sz w:val="24"/>
          <w:szCs w:val="24"/>
        </w:rPr>
      </w:pPr>
      <w:r>
        <w:rPr>
          <w:rFonts w:hint="eastAsia" w:ascii="宋体" w:hAnsi="宋体" w:eastAsia="宋体"/>
          <w:sz w:val="24"/>
          <w:szCs w:val="24"/>
        </w:rPr>
        <w:t>⑤</w:t>
      </w:r>
      <w:r>
        <w:rPr>
          <w:rFonts w:ascii="宋体" w:hAnsi="宋体" w:eastAsia="宋体"/>
          <w:sz w:val="24"/>
          <w:szCs w:val="24"/>
        </w:rPr>
        <w:t>法律、行政法规规定的其他条件。</w:t>
      </w:r>
    </w:p>
    <w:p w14:paraId="046663EF">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在中华人民共和国境内注册的法人企业，营业执照合格有效，且按国家法律法规合法经营;</w:t>
      </w:r>
    </w:p>
    <w:p w14:paraId="55BC6486">
      <w:pPr>
        <w:pageBreakBefore w:val="0"/>
        <w:kinsoku/>
        <w:wordWrap/>
        <w:overflowPunct/>
        <w:topLinePunct w:val="0"/>
        <w:bidi w:val="0"/>
        <w:snapToGrid w:val="0"/>
        <w:spacing w:line="360" w:lineRule="auto"/>
        <w:ind w:right="0" w:rightChars="0"/>
        <w:rPr>
          <w:rFonts w:hint="eastAsia" w:ascii="宋体" w:hAnsi="宋体" w:eastAsia="宋体" w:cs="宋体"/>
          <w:sz w:val="24"/>
          <w:szCs w:val="24"/>
          <w:highlight w:val="none"/>
        </w:rPr>
      </w:pPr>
      <w:r>
        <w:rPr>
          <w:rFonts w:hint="eastAsia" w:ascii="宋体" w:hAnsi="宋体" w:eastAsia="宋体" w:cs="宋体"/>
          <w:sz w:val="24"/>
          <w:szCs w:val="24"/>
        </w:rPr>
        <w:t>3、</w:t>
      </w:r>
      <w:r>
        <w:rPr>
          <w:rFonts w:hint="eastAsia" w:ascii="宋体" w:hAnsi="宋体" w:eastAsia="宋体" w:cs="宋体"/>
          <w:sz w:val="24"/>
          <w:szCs w:val="24"/>
          <w:lang w:val="en-US" w:eastAsia="zh-CN"/>
        </w:rPr>
        <w:t>报名</w:t>
      </w:r>
      <w:r>
        <w:rPr>
          <w:rFonts w:hint="eastAsia" w:ascii="宋体" w:hAnsi="宋体" w:eastAsia="宋体" w:cs="宋体"/>
          <w:sz w:val="24"/>
          <w:szCs w:val="24"/>
        </w:rPr>
        <w:t>人未被列入“信用中国”网站(www.creditchina.gov.cn)“记录失信被执行人或重</w:t>
      </w:r>
      <w:r>
        <w:rPr>
          <w:rFonts w:hint="eastAsia" w:ascii="宋体" w:hAnsi="宋体" w:eastAsia="宋体" w:cs="宋体"/>
          <w:sz w:val="24"/>
          <w:szCs w:val="24"/>
          <w:highlight w:val="none"/>
        </w:rPr>
        <w:t>大税收违法案件当事人名单或政府采购严重违法失信行为”记录名单；（以本项目</w:t>
      </w:r>
      <w:r>
        <w:rPr>
          <w:rFonts w:hint="eastAsia" w:ascii="宋体" w:hAnsi="宋体" w:eastAsia="宋体" w:cs="宋体"/>
          <w:sz w:val="24"/>
          <w:szCs w:val="24"/>
          <w:highlight w:val="none"/>
          <w:lang w:eastAsia="zh-CN"/>
        </w:rPr>
        <w:t>报名</w:t>
      </w:r>
      <w:r>
        <w:rPr>
          <w:rFonts w:hint="eastAsia" w:ascii="宋体" w:hAnsi="宋体" w:eastAsia="宋体" w:cs="宋体"/>
          <w:sz w:val="24"/>
          <w:szCs w:val="24"/>
          <w:highlight w:val="none"/>
        </w:rPr>
        <w:t>截止当天查询结果为准，该查询结果打印页面与项目档案一起存档））。</w:t>
      </w:r>
    </w:p>
    <w:p w14:paraId="03893F60">
      <w:pPr>
        <w:pageBreakBefore w:val="0"/>
        <w:kinsoku/>
        <w:wordWrap/>
        <w:overflowPunct/>
        <w:topLinePunct w:val="0"/>
        <w:bidi w:val="0"/>
        <w:spacing w:line="360" w:lineRule="auto"/>
        <w:ind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4、报名</w:t>
      </w:r>
      <w:r>
        <w:rPr>
          <w:rFonts w:hint="eastAsia" w:ascii="宋体" w:hAnsi="宋体" w:eastAsia="宋体" w:cs="宋体"/>
          <w:sz w:val="24"/>
          <w:szCs w:val="24"/>
          <w:highlight w:val="none"/>
        </w:rPr>
        <w:t>人须具有有效</w:t>
      </w:r>
      <w:r>
        <w:rPr>
          <w:rFonts w:hint="eastAsia" w:ascii="宋体" w:hAnsi="宋体" w:eastAsia="宋体" w:cs="宋体"/>
          <w:sz w:val="24"/>
          <w:szCs w:val="24"/>
          <w:highlight w:val="none"/>
          <w:lang w:eastAsia="zh-CN"/>
        </w:rPr>
        <w:t>的</w:t>
      </w:r>
      <w:r>
        <w:rPr>
          <w:rFonts w:hint="eastAsia" w:ascii="宋体" w:hAnsi="宋体" w:eastAsia="宋体" w:cs="宋体"/>
          <w:i w:val="0"/>
          <w:color w:val="000000"/>
          <w:sz w:val="24"/>
          <w:szCs w:val="24"/>
          <w:highlight w:val="none"/>
          <w:u w:val="none"/>
          <w:shd w:val="clear" w:color="auto" w:fill="auto"/>
          <w:lang w:val="en-US" w:eastAsia="zh-CN"/>
        </w:rPr>
        <w:t>《企业营业执照》</w:t>
      </w:r>
      <w:r>
        <w:rPr>
          <w:rFonts w:hint="eastAsia" w:ascii="宋体" w:hAnsi="宋体" w:eastAsia="宋体" w:cs="宋体"/>
          <w:color w:val="auto"/>
          <w:kern w:val="0"/>
          <w:sz w:val="24"/>
          <w:szCs w:val="24"/>
          <w:highlight w:val="none"/>
          <w:lang w:eastAsia="zh-CN"/>
        </w:rPr>
        <w:t>。</w:t>
      </w:r>
    </w:p>
    <w:p w14:paraId="260AFB9C">
      <w:pPr>
        <w:pageBreakBefore w:val="0"/>
        <w:kinsoku/>
        <w:wordWrap/>
        <w:overflowPunct/>
        <w:topLinePunct w:val="0"/>
        <w:bidi w:val="0"/>
        <w:snapToGrid w:val="0"/>
        <w:spacing w:line="360" w:lineRule="auto"/>
        <w:ind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本项目不接受联合体</w:t>
      </w:r>
      <w:r>
        <w:rPr>
          <w:rFonts w:hint="eastAsia" w:ascii="宋体" w:hAnsi="宋体" w:eastAsia="宋体" w:cs="宋体"/>
          <w:sz w:val="24"/>
          <w:szCs w:val="24"/>
          <w:lang w:eastAsia="zh-CN"/>
        </w:rPr>
        <w:t>报名。</w:t>
      </w:r>
    </w:p>
    <w:p w14:paraId="2522B464">
      <w:pPr>
        <w:spacing w:line="360" w:lineRule="auto"/>
        <w:rPr>
          <w:rFonts w:ascii="宋体" w:hAnsi="宋体" w:eastAsia="宋体"/>
          <w:b/>
          <w:sz w:val="28"/>
          <w:szCs w:val="28"/>
        </w:rPr>
      </w:pPr>
      <w:r>
        <w:rPr>
          <w:rFonts w:hint="eastAsia" w:ascii="宋体" w:hAnsi="宋体" w:eastAsia="宋体"/>
          <w:b/>
          <w:sz w:val="28"/>
          <w:szCs w:val="28"/>
        </w:rPr>
        <w:t>六</w:t>
      </w:r>
      <w:r>
        <w:rPr>
          <w:rFonts w:ascii="宋体" w:hAnsi="宋体" w:eastAsia="宋体"/>
          <w:b/>
          <w:sz w:val="28"/>
          <w:szCs w:val="28"/>
        </w:rPr>
        <w:t>、</w:t>
      </w:r>
      <w:r>
        <w:rPr>
          <w:rFonts w:hint="eastAsia" w:ascii="宋体" w:hAnsi="宋体" w:eastAsia="宋体"/>
          <w:b/>
          <w:sz w:val="28"/>
          <w:szCs w:val="28"/>
        </w:rPr>
        <w:t>报名资料组成</w:t>
      </w:r>
    </w:p>
    <w:p w14:paraId="21D2C3CC">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法定代表人资格证明书及身份证复印件（须注明“与原件相符”，并加盖单位公章）；</w:t>
      </w:r>
    </w:p>
    <w:p w14:paraId="125794C0">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法人代表人签发的授权委托书（授权人参加时）及身份证原件和复印件（复印件须注明“与原件相符”，并加盖单位公章）。</w:t>
      </w:r>
    </w:p>
    <w:p w14:paraId="42282D1B">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条第2、3</w:t>
      </w: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ascii="宋体" w:hAnsi="宋体" w:eastAsia="宋体"/>
          <w:sz w:val="24"/>
          <w:szCs w:val="24"/>
        </w:rPr>
        <w:t>款”相关有效证件、资质证明复印件，并加盖单位公章；</w:t>
      </w:r>
    </w:p>
    <w:p w14:paraId="0A43539A">
      <w:pPr>
        <w:spacing w:line="360" w:lineRule="auto"/>
        <w:rPr>
          <w:rFonts w:hint="default" w:ascii="宋体" w:hAnsi="宋体" w:eastAsia="宋体"/>
          <w:sz w:val="24"/>
          <w:szCs w:val="24"/>
          <w:lang w:val="en-US" w:eastAsia="zh-CN"/>
        </w:rPr>
      </w:pPr>
      <w:r>
        <w:rPr>
          <w:rFonts w:hint="eastAsia" w:ascii="宋体" w:hAnsi="宋体" w:eastAsia="宋体"/>
          <w:b w:val="0"/>
          <w:bCs/>
          <w:sz w:val="24"/>
          <w:szCs w:val="24"/>
          <w:lang w:val="en-US" w:eastAsia="zh-CN"/>
        </w:rPr>
        <w:t>4、报价单：提供初次报价单，并</w:t>
      </w:r>
      <w:r>
        <w:rPr>
          <w:rFonts w:ascii="宋体" w:hAnsi="宋体" w:eastAsia="宋体"/>
          <w:sz w:val="24"/>
          <w:szCs w:val="24"/>
        </w:rPr>
        <w:t>加盖单位公章</w:t>
      </w:r>
      <w:r>
        <w:rPr>
          <w:rFonts w:hint="eastAsia" w:ascii="宋体" w:hAnsi="宋体" w:eastAsia="宋体"/>
          <w:sz w:val="24"/>
          <w:szCs w:val="24"/>
          <w:lang w:eastAsia="zh-CN"/>
        </w:rPr>
        <w:t>。</w:t>
      </w:r>
      <w:r>
        <w:rPr>
          <w:rFonts w:hint="eastAsia" w:ascii="宋体" w:hAnsi="宋体" w:eastAsia="宋体"/>
          <w:sz w:val="24"/>
          <w:szCs w:val="24"/>
          <w:lang w:val="en-US" w:eastAsia="zh-CN"/>
        </w:rPr>
        <w:t>现场进行最终报价。（三年合同包干价）</w:t>
      </w:r>
    </w:p>
    <w:p w14:paraId="681433FD">
      <w:pPr>
        <w:spacing w:line="360" w:lineRule="auto"/>
        <w:rPr>
          <w:rFonts w:hint="default" w:ascii="宋体" w:hAnsi="宋体" w:eastAsia="宋体"/>
          <w:b/>
          <w:sz w:val="24"/>
          <w:szCs w:val="24"/>
          <w:lang w:val="en-US" w:eastAsia="zh-CN"/>
        </w:rPr>
      </w:pPr>
    </w:p>
    <w:tbl>
      <w:tblPr>
        <w:tblStyle w:val="19"/>
        <w:tblW w:w="9418" w:type="dxa"/>
        <w:tblInd w:w="5"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top w:w="0" w:type="dxa"/>
          <w:left w:w="0" w:type="dxa"/>
          <w:bottom w:w="0" w:type="dxa"/>
          <w:right w:w="0" w:type="dxa"/>
        </w:tblCellMar>
      </w:tblPr>
      <w:tblGrid>
        <w:gridCol w:w="579"/>
        <w:gridCol w:w="2019"/>
        <w:gridCol w:w="3150"/>
        <w:gridCol w:w="3670"/>
      </w:tblGrid>
      <w:tr w14:paraId="45EE1C2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CellMar>
            <w:top w:w="0" w:type="dxa"/>
            <w:left w:w="0" w:type="dxa"/>
            <w:bottom w:w="0" w:type="dxa"/>
            <w:right w:w="0" w:type="dxa"/>
          </w:tblCellMar>
        </w:tblPrEx>
        <w:trPr>
          <w:trHeight w:val="377" w:hRule="atLeast"/>
        </w:trPr>
        <w:tc>
          <w:tcPr>
            <w:tcW w:w="579" w:type="dxa"/>
            <w:vAlign w:val="top"/>
          </w:tcPr>
          <w:p w14:paraId="20E3DB8B">
            <w:pPr>
              <w:pStyle w:val="18"/>
              <w:spacing w:before="88" w:line="161" w:lineRule="auto"/>
              <w:ind w:left="140"/>
            </w:pPr>
            <w:r>
              <w:rPr>
                <w:b/>
                <w:bCs/>
                <w:spacing w:val="2"/>
              </w:rPr>
              <w:t>序号</w:t>
            </w:r>
          </w:p>
        </w:tc>
        <w:tc>
          <w:tcPr>
            <w:tcW w:w="2019" w:type="dxa"/>
            <w:vAlign w:val="top"/>
          </w:tcPr>
          <w:p w14:paraId="7974F82F">
            <w:pPr>
              <w:pStyle w:val="18"/>
              <w:spacing w:before="88" w:line="161" w:lineRule="auto"/>
              <w:jc w:val="center"/>
            </w:pPr>
            <w:r>
              <w:rPr>
                <w:b/>
                <w:bCs/>
                <w:spacing w:val="2"/>
              </w:rPr>
              <w:t>公司名称</w:t>
            </w:r>
          </w:p>
        </w:tc>
        <w:tc>
          <w:tcPr>
            <w:tcW w:w="3150" w:type="dxa"/>
            <w:vAlign w:val="top"/>
          </w:tcPr>
          <w:p w14:paraId="0B73A369">
            <w:pPr>
              <w:pStyle w:val="18"/>
              <w:spacing w:before="87" w:line="162" w:lineRule="auto"/>
              <w:ind w:left="766"/>
              <w:jc w:val="center"/>
              <w:rPr>
                <w:rFonts w:hint="eastAsia" w:eastAsia="微软雅黑"/>
                <w:lang w:eastAsia="zh-CN"/>
              </w:rPr>
            </w:pPr>
            <w:r>
              <w:rPr>
                <w:b/>
                <w:bCs/>
                <w:spacing w:val="2"/>
              </w:rPr>
              <w:t>初次报价</w:t>
            </w:r>
          </w:p>
        </w:tc>
        <w:tc>
          <w:tcPr>
            <w:tcW w:w="3670" w:type="dxa"/>
            <w:vAlign w:val="top"/>
          </w:tcPr>
          <w:p w14:paraId="23EC24C5">
            <w:pPr>
              <w:pStyle w:val="18"/>
              <w:spacing w:before="88" w:line="161" w:lineRule="auto"/>
              <w:ind w:left="776"/>
              <w:jc w:val="center"/>
            </w:pPr>
            <w:r>
              <w:rPr>
                <w:b/>
                <w:bCs/>
                <w:spacing w:val="2"/>
              </w:rPr>
              <w:t>最终报价</w:t>
            </w:r>
          </w:p>
        </w:tc>
      </w:tr>
      <w:tr w14:paraId="7A0AAE03">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CellMar>
            <w:top w:w="0" w:type="dxa"/>
            <w:left w:w="0" w:type="dxa"/>
            <w:bottom w:w="0" w:type="dxa"/>
            <w:right w:w="0" w:type="dxa"/>
          </w:tblCellMar>
        </w:tblPrEx>
        <w:trPr>
          <w:trHeight w:val="698" w:hRule="atLeast"/>
        </w:trPr>
        <w:tc>
          <w:tcPr>
            <w:tcW w:w="579" w:type="dxa"/>
            <w:vAlign w:val="top"/>
          </w:tcPr>
          <w:p w14:paraId="320EBF4C">
            <w:pPr>
              <w:spacing w:line="242" w:lineRule="auto"/>
              <w:rPr>
                <w:rFonts w:ascii="Arial"/>
                <w:sz w:val="21"/>
              </w:rPr>
            </w:pPr>
          </w:p>
          <w:p w14:paraId="0CFC4DB2">
            <w:pPr>
              <w:pStyle w:val="18"/>
              <w:spacing w:before="77" w:line="176" w:lineRule="auto"/>
              <w:ind w:left="286"/>
            </w:pPr>
            <w:r>
              <w:t>1</w:t>
            </w:r>
          </w:p>
        </w:tc>
        <w:tc>
          <w:tcPr>
            <w:tcW w:w="2019" w:type="dxa"/>
            <w:vAlign w:val="top"/>
          </w:tcPr>
          <w:p w14:paraId="77955BE0">
            <w:pPr>
              <w:pStyle w:val="18"/>
              <w:spacing w:before="308" w:line="186" w:lineRule="auto"/>
              <w:jc w:val="center"/>
            </w:pPr>
          </w:p>
        </w:tc>
        <w:tc>
          <w:tcPr>
            <w:tcW w:w="3150" w:type="dxa"/>
            <w:vAlign w:val="top"/>
          </w:tcPr>
          <w:p w14:paraId="6112D86F">
            <w:pPr>
              <w:spacing w:line="242" w:lineRule="auto"/>
              <w:jc w:val="center"/>
              <w:rPr>
                <w:rFonts w:ascii="Arial"/>
                <w:sz w:val="21"/>
              </w:rPr>
            </w:pPr>
          </w:p>
          <w:p w14:paraId="2CA33793">
            <w:pPr>
              <w:pStyle w:val="18"/>
              <w:spacing w:before="77" w:line="176" w:lineRule="auto"/>
              <w:jc w:val="center"/>
              <w:rPr>
                <w:rFonts w:hint="default" w:eastAsia="微软雅黑"/>
                <w:lang w:val="en-US" w:eastAsia="zh-CN"/>
              </w:rPr>
            </w:pPr>
            <w:r>
              <w:rPr>
                <w:rFonts w:hint="eastAsia"/>
                <w:lang w:val="en-US" w:eastAsia="zh-CN"/>
              </w:rPr>
              <w:t>元</w:t>
            </w:r>
          </w:p>
        </w:tc>
        <w:tc>
          <w:tcPr>
            <w:tcW w:w="3670" w:type="dxa"/>
            <w:vAlign w:val="top"/>
          </w:tcPr>
          <w:p w14:paraId="61FF42F1">
            <w:pPr>
              <w:spacing w:line="242" w:lineRule="auto"/>
              <w:jc w:val="center"/>
              <w:rPr>
                <w:rFonts w:ascii="Arial"/>
                <w:sz w:val="21"/>
              </w:rPr>
            </w:pPr>
          </w:p>
          <w:p w14:paraId="1BBEE310">
            <w:pPr>
              <w:pStyle w:val="18"/>
              <w:spacing w:before="77" w:line="176" w:lineRule="auto"/>
              <w:jc w:val="center"/>
              <w:rPr>
                <w:rFonts w:hint="default" w:eastAsia="微软雅黑"/>
                <w:lang w:val="en-US" w:eastAsia="zh-CN"/>
              </w:rPr>
            </w:pPr>
            <w:r>
              <w:rPr>
                <w:rFonts w:hint="eastAsia"/>
                <w:lang w:val="en-US" w:eastAsia="zh-CN"/>
              </w:rPr>
              <w:t>元</w:t>
            </w:r>
          </w:p>
        </w:tc>
      </w:tr>
    </w:tbl>
    <w:p w14:paraId="6A7629E3">
      <w:pPr>
        <w:spacing w:line="360" w:lineRule="auto"/>
        <w:rPr>
          <w:rFonts w:hint="eastAsia" w:ascii="宋体" w:hAnsi="宋体" w:eastAsia="宋体"/>
          <w:b/>
          <w:sz w:val="28"/>
          <w:szCs w:val="28"/>
          <w:lang w:val="en-US" w:eastAsia="zh-CN"/>
        </w:rPr>
      </w:pPr>
    </w:p>
    <w:p w14:paraId="11D516CF">
      <w:pPr>
        <w:spacing w:line="360" w:lineRule="auto"/>
        <w:rPr>
          <w:rFonts w:ascii="宋体" w:hAnsi="宋体" w:eastAsia="宋体"/>
          <w:b/>
          <w:sz w:val="28"/>
          <w:szCs w:val="28"/>
        </w:rPr>
      </w:pPr>
      <w:r>
        <w:rPr>
          <w:rFonts w:hint="eastAsia" w:ascii="宋体" w:hAnsi="宋体" w:eastAsia="宋体"/>
          <w:b/>
          <w:sz w:val="28"/>
          <w:szCs w:val="28"/>
        </w:rPr>
        <w:t>七</w:t>
      </w:r>
      <w:r>
        <w:rPr>
          <w:rFonts w:ascii="宋体" w:hAnsi="宋体" w:eastAsia="宋体"/>
          <w:b/>
          <w:sz w:val="28"/>
          <w:szCs w:val="28"/>
        </w:rPr>
        <w:t>、</w:t>
      </w:r>
      <w:r>
        <w:rPr>
          <w:rFonts w:hint="eastAsia" w:ascii="宋体" w:hAnsi="宋体" w:eastAsia="宋体"/>
          <w:b/>
          <w:sz w:val="28"/>
          <w:szCs w:val="28"/>
        </w:rPr>
        <w:t xml:space="preserve"> 报名</w:t>
      </w:r>
    </w:p>
    <w:p w14:paraId="2678CC46">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请于202</w:t>
      </w:r>
      <w:r>
        <w:rPr>
          <w:rFonts w:hint="eastAsia" w:ascii="宋体" w:hAnsi="宋体" w:eastAsia="宋体"/>
          <w:sz w:val="24"/>
          <w:szCs w:val="24"/>
          <w:lang w:val="en-US" w:eastAsia="zh-CN"/>
        </w:rPr>
        <w:t>6</w:t>
      </w:r>
      <w:r>
        <w:rPr>
          <w:rFonts w:ascii="宋体" w:hAnsi="宋体" w:eastAsia="宋体"/>
          <w:sz w:val="24"/>
          <w:szCs w:val="24"/>
        </w:rPr>
        <w:t>年</w:t>
      </w:r>
      <w:r>
        <w:rPr>
          <w:rFonts w:hint="eastAsia" w:ascii="宋体" w:hAnsi="宋体" w:eastAsia="宋体"/>
          <w:sz w:val="24"/>
          <w:szCs w:val="24"/>
          <w:lang w:val="en-US" w:eastAsia="zh-CN"/>
        </w:rPr>
        <w:t>1</w:t>
      </w:r>
      <w:r>
        <w:rPr>
          <w:rFonts w:ascii="宋体" w:hAnsi="宋体" w:eastAsia="宋体"/>
          <w:sz w:val="24"/>
          <w:szCs w:val="24"/>
        </w:rPr>
        <w:t>月</w:t>
      </w:r>
      <w:r>
        <w:rPr>
          <w:rFonts w:hint="eastAsia" w:ascii="宋体" w:hAnsi="宋体" w:eastAsia="宋体"/>
          <w:sz w:val="24"/>
          <w:szCs w:val="24"/>
          <w:lang w:val="en-US" w:eastAsia="zh-CN"/>
        </w:rPr>
        <w:t>28</w:t>
      </w:r>
      <w:r>
        <w:rPr>
          <w:rFonts w:ascii="宋体" w:hAnsi="宋体" w:eastAsia="宋体"/>
          <w:sz w:val="24"/>
          <w:szCs w:val="24"/>
        </w:rPr>
        <w:t>日17:00前</w:t>
      </w:r>
      <w:r>
        <w:rPr>
          <w:rFonts w:hint="eastAsia" w:ascii="宋体" w:hAnsi="宋体" w:eastAsia="宋体"/>
          <w:sz w:val="24"/>
          <w:szCs w:val="24"/>
        </w:rPr>
        <w:t>以</w:t>
      </w:r>
      <w:r>
        <w:rPr>
          <w:rFonts w:ascii="宋体" w:hAnsi="宋体" w:eastAsia="宋体"/>
          <w:sz w:val="24"/>
          <w:szCs w:val="24"/>
        </w:rPr>
        <w:t>邮件正文发送单位名称、联系人、联系电话到邮箱ZSLYZWK38254135@163.com，并附件形式发送参会人员委托书（含身份证复印件）、单位三证及一般纳税人资格证明材料的扫描件，邮件主题为“</w:t>
      </w:r>
      <w:r>
        <w:rPr>
          <w:rFonts w:hint="eastAsia" w:ascii="宋体" w:hAnsi="宋体" w:eastAsia="宋体"/>
          <w:sz w:val="24"/>
          <w:szCs w:val="24"/>
        </w:rPr>
        <w:t>202</w:t>
      </w:r>
      <w:r>
        <w:rPr>
          <w:rFonts w:hint="eastAsia" w:ascii="宋体" w:hAnsi="宋体" w:eastAsia="宋体"/>
          <w:sz w:val="24"/>
          <w:szCs w:val="24"/>
          <w:lang w:val="en-US" w:eastAsia="zh-CN"/>
        </w:rPr>
        <w:t>6</w:t>
      </w:r>
      <w:r>
        <w:rPr>
          <w:rFonts w:hint="eastAsia" w:ascii="宋体" w:hAnsi="宋体" w:eastAsia="宋体"/>
          <w:sz w:val="24"/>
          <w:szCs w:val="24"/>
        </w:rPr>
        <w:t>-202</w:t>
      </w:r>
      <w:r>
        <w:rPr>
          <w:rFonts w:hint="eastAsia" w:ascii="宋体" w:hAnsi="宋体" w:eastAsia="宋体"/>
          <w:sz w:val="24"/>
          <w:szCs w:val="24"/>
          <w:lang w:val="en-US" w:eastAsia="zh-CN"/>
        </w:rPr>
        <w:t>9</w:t>
      </w:r>
      <w:r>
        <w:rPr>
          <w:rFonts w:hint="eastAsia" w:ascii="宋体" w:hAnsi="宋体" w:eastAsia="宋体"/>
          <w:sz w:val="24"/>
          <w:szCs w:val="24"/>
        </w:rPr>
        <w:t>年度</w:t>
      </w:r>
      <w:r>
        <w:rPr>
          <w:rFonts w:hint="eastAsia" w:ascii="宋体" w:hAnsi="宋体" w:eastAsia="宋体" w:cs="宋体"/>
          <w:b w:val="0"/>
          <w:bCs w:val="0"/>
          <w:sz w:val="24"/>
          <w:szCs w:val="24"/>
          <w:lang w:val="en-US" w:eastAsia="zh-CN"/>
        </w:rPr>
        <w:t>病媒生物预防控制</w:t>
      </w:r>
      <w:r>
        <w:rPr>
          <w:rFonts w:ascii="宋体" w:hAnsi="宋体" w:eastAsia="宋体"/>
          <w:sz w:val="24"/>
          <w:szCs w:val="24"/>
        </w:rPr>
        <w:t>服务项目”。</w:t>
      </w:r>
    </w:p>
    <w:p w14:paraId="21B39C6E">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报名资料不完备的，视为报名不成功，不可参与现场解答会。</w:t>
      </w:r>
    </w:p>
    <w:p w14:paraId="26BFFFCF">
      <w:pPr>
        <w:spacing w:line="360" w:lineRule="auto"/>
        <w:rPr>
          <w:rFonts w:ascii="宋体" w:hAnsi="宋体" w:eastAsia="宋体"/>
          <w:b/>
          <w:sz w:val="28"/>
          <w:szCs w:val="28"/>
        </w:rPr>
      </w:pPr>
      <w:r>
        <w:rPr>
          <w:rFonts w:hint="eastAsia" w:ascii="宋体" w:hAnsi="宋体" w:eastAsia="宋体"/>
          <w:b/>
          <w:sz w:val="28"/>
          <w:szCs w:val="28"/>
        </w:rPr>
        <w:t>八</w:t>
      </w:r>
      <w:r>
        <w:rPr>
          <w:rFonts w:ascii="宋体" w:hAnsi="宋体" w:eastAsia="宋体"/>
          <w:b/>
          <w:sz w:val="28"/>
          <w:szCs w:val="28"/>
        </w:rPr>
        <w:t>、</w:t>
      </w:r>
      <w:r>
        <w:rPr>
          <w:rFonts w:hint="eastAsia" w:ascii="宋体" w:hAnsi="宋体" w:eastAsia="宋体"/>
          <w:b/>
          <w:sz w:val="28"/>
          <w:szCs w:val="28"/>
        </w:rPr>
        <w:t xml:space="preserve"> 现场解答会</w:t>
      </w:r>
    </w:p>
    <w:p w14:paraId="1D7D7A17">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合资格的单位，我院将以短信方式</w:t>
      </w:r>
      <w:r>
        <w:rPr>
          <w:rFonts w:hint="eastAsia" w:ascii="宋体" w:hAnsi="宋体" w:eastAsia="宋体"/>
          <w:sz w:val="24"/>
          <w:szCs w:val="24"/>
          <w:lang w:val="en-US" w:eastAsia="zh-CN"/>
        </w:rPr>
        <w:t>和邮件</w:t>
      </w:r>
      <w:r>
        <w:rPr>
          <w:rFonts w:ascii="宋体" w:hAnsi="宋体" w:eastAsia="宋体"/>
          <w:sz w:val="24"/>
          <w:szCs w:val="24"/>
        </w:rPr>
        <w:t>通知参加现场解答会的时间及地点。</w:t>
      </w:r>
    </w:p>
    <w:p w14:paraId="6B2C1723">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现场解答会当天参会单位携带完整参会资料原件，提前5-10分钟到场签到</w:t>
      </w:r>
    </w:p>
    <w:p w14:paraId="390B365E">
      <w:pPr>
        <w:spacing w:line="360" w:lineRule="auto"/>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联系人：后勤保障处</w:t>
      </w:r>
      <w:r>
        <w:rPr>
          <w:rFonts w:hint="eastAsia" w:ascii="宋体" w:hAnsi="宋体" w:eastAsia="宋体"/>
          <w:sz w:val="24"/>
          <w:szCs w:val="24"/>
          <w:lang w:val="en-US" w:eastAsia="zh-CN"/>
        </w:rPr>
        <w:t>曾老师</w:t>
      </w:r>
      <w:r>
        <w:rPr>
          <w:rFonts w:ascii="宋体" w:hAnsi="宋体" w:eastAsia="宋体"/>
          <w:sz w:val="24"/>
          <w:szCs w:val="24"/>
        </w:rPr>
        <w:t>，联系电话：</w:t>
      </w:r>
      <w:r>
        <w:rPr>
          <w:rFonts w:hint="eastAsia" w:ascii="宋体" w:hAnsi="宋体" w:eastAsia="宋体"/>
          <w:sz w:val="24"/>
          <w:szCs w:val="24"/>
          <w:lang w:val="en-US" w:eastAsia="zh-CN"/>
        </w:rPr>
        <w:t>15920458827</w:t>
      </w:r>
      <w:r>
        <w:rPr>
          <w:rFonts w:ascii="宋体" w:hAnsi="宋体" w:eastAsia="宋体"/>
          <w:sz w:val="24"/>
          <w:szCs w:val="24"/>
        </w:rPr>
        <w:t>（工作日8:00-12:00,14:30-17:30）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9264C"/>
    <w:multiLevelType w:val="singleLevel"/>
    <w:tmpl w:val="1699264C"/>
    <w:lvl w:ilvl="0" w:tentative="0">
      <w:start w:val="4"/>
      <w:numFmt w:val="decimal"/>
      <w:lvlText w:val="%1."/>
      <w:lvlJc w:val="left"/>
      <w:pPr>
        <w:tabs>
          <w:tab w:val="left" w:pos="312"/>
        </w:tabs>
      </w:pPr>
    </w:lvl>
  </w:abstractNum>
  <w:abstractNum w:abstractNumId="1">
    <w:nsid w:val="1ADC17CB"/>
    <w:multiLevelType w:val="singleLevel"/>
    <w:tmpl w:val="1ADC17C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jA5YmI4Y2ZkZDA3Y2EwMmIyZTJlYTcyNmQxNjMifQ=="/>
  </w:docVars>
  <w:rsids>
    <w:rsidRoot w:val="00C94A69"/>
    <w:rsid w:val="00030BEA"/>
    <w:rsid w:val="00082B95"/>
    <w:rsid w:val="000F0957"/>
    <w:rsid w:val="00135EEB"/>
    <w:rsid w:val="00236B97"/>
    <w:rsid w:val="004A0F17"/>
    <w:rsid w:val="005F2494"/>
    <w:rsid w:val="00936C59"/>
    <w:rsid w:val="009C5DF1"/>
    <w:rsid w:val="00C94A69"/>
    <w:rsid w:val="00DA74F1"/>
    <w:rsid w:val="00E66864"/>
    <w:rsid w:val="00E82F5A"/>
    <w:rsid w:val="00F76032"/>
    <w:rsid w:val="09D145F2"/>
    <w:rsid w:val="0A546CA6"/>
    <w:rsid w:val="0ACD23CC"/>
    <w:rsid w:val="26B932C1"/>
    <w:rsid w:val="30090E59"/>
    <w:rsid w:val="31A73EC6"/>
    <w:rsid w:val="3F5C2DE9"/>
    <w:rsid w:val="49793F60"/>
    <w:rsid w:val="4B2D250D"/>
    <w:rsid w:val="69DF455B"/>
    <w:rsid w:val="723D4D15"/>
    <w:rsid w:val="73FB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4">
    <w:name w:val="Normal Indent"/>
    <w:basedOn w:val="1"/>
    <w:next w:val="3"/>
    <w:qFormat/>
    <w:uiPriority w:val="0"/>
    <w:pPr>
      <w:ind w:firstLine="420"/>
    </w:pPr>
  </w:style>
  <w:style w:type="paragraph" w:styleId="5">
    <w:name w:val="annotation text"/>
    <w:basedOn w:val="1"/>
    <w:link w:val="16"/>
    <w:semiHidden/>
    <w:unhideWhenUsed/>
    <w:qFormat/>
    <w:uiPriority w:val="99"/>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tabs>
        <w:tab w:val="right" w:leader="dot" w:pos="8302"/>
      </w:tabs>
      <w:jc w:val="center"/>
    </w:pPr>
    <w:rPr>
      <w:rFonts w:ascii="仿宋_GB2312" w:hAnsi="仿宋" w:eastAsia="仿宋_GB2312"/>
      <w:b/>
      <w:smallCaps/>
      <w:kern w:val="0"/>
      <w:sz w:val="30"/>
      <w:szCs w:val="30"/>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13">
    <w:name w:val="_Style 3"/>
    <w:basedOn w:val="1"/>
    <w:qFormat/>
    <w:uiPriority w:val="0"/>
    <w:pPr>
      <w:ind w:firstLine="420" w:firstLineChars="200"/>
    </w:pPr>
    <w:rPr>
      <w:sz w:val="20"/>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文字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paragraph" w:customStyle="1" w:styleId="18">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Body text|1"/>
    <w:basedOn w:val="1"/>
    <w:qFormat/>
    <w:uiPriority w:val="0"/>
    <w:pPr>
      <w:spacing w:line="410" w:lineRule="auto"/>
      <w:jc w:val="left"/>
    </w:pPr>
    <w:rPr>
      <w:rFonts w:ascii="宋体" w:hAnsi="宋体" w:eastAsia="宋体" w:cs="宋体"/>
      <w:color w:val="00000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6876</Words>
  <Characters>7177</Characters>
  <Lines>14</Lines>
  <Paragraphs>4</Paragraphs>
  <TotalTime>1</TotalTime>
  <ScaleCrop>false</ScaleCrop>
  <LinksUpToDate>false</LinksUpToDate>
  <CharactersWithSpaces>7187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2024-04-30T08:25:00Z</dcterms:created>
  <dc:creator>Administrator</dc:creator>
  <cp:lastModifiedBy>Administrator</cp:lastModifiedBy>
  <dcterms:modified xsi:type="dcterms:W3CDTF">2026-01-22T01:26:49Z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FDD5722E42104A0CB625E5B6F2D746B9_12</vt:lpwstr>
  </property>
  <property fmtid="{D5CDD505-2E9C-101B-9397-08002B2CF9AE}" pid="4" name="KSOTemplateDocerSaveRecord">
    <vt:lpwstr>eyJoZGlkIjoiZDJlYWMzZDkxODk0OGY0ODYzMjM0YTI0Y2U0ODJkYTIiLCJ1c2VySWQiOiI0NDg3Mjc3ODUifQ==</vt:lpwstr>
  </property>
</Properties>
</file>