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5523"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ascii="方正小标宋简体" w:hAnsi="微软雅黑" w:eastAsia="方正小标宋简体" w:cs="微软雅黑"/>
          <w:color w:val="363030"/>
          <w:sz w:val="44"/>
          <w:szCs w:val="44"/>
          <w:shd w:val="clear" w:color="auto" w:fill="FFFFFF"/>
        </w:rPr>
      </w:pPr>
      <w:r>
        <w:rPr>
          <w:rFonts w:ascii="方正小标宋简体" w:hAnsi="微软雅黑" w:eastAsia="方正小标宋简体" w:cs="微软雅黑"/>
          <w:color w:val="363030"/>
          <w:sz w:val="44"/>
          <w:szCs w:val="44"/>
          <w:shd w:val="clear" w:color="auto" w:fill="FFFFFF"/>
        </w:rPr>
        <w:t>中山大学附属第六医院</w:t>
      </w:r>
      <w:r>
        <w:rPr>
          <w:rFonts w:hint="eastAsia" w:ascii="方正小标宋简体" w:hAnsi="微软雅黑" w:eastAsia="方正小标宋简体" w:cs="微软雅黑"/>
          <w:color w:val="363030"/>
          <w:sz w:val="44"/>
          <w:szCs w:val="44"/>
          <w:shd w:val="clear" w:color="auto" w:fill="FFFFFF"/>
          <w:lang w:val="en-US" w:eastAsia="zh-CN"/>
        </w:rPr>
        <w:t>共享智能陪护产品便民服务</w:t>
      </w:r>
      <w:r>
        <w:rPr>
          <w:rFonts w:ascii="方正小标宋简体" w:hAnsi="微软雅黑" w:eastAsia="方正小标宋简体" w:cs="微软雅黑"/>
          <w:color w:val="363030"/>
          <w:sz w:val="44"/>
          <w:szCs w:val="44"/>
          <w:shd w:val="clear" w:color="auto" w:fill="FFFFFF"/>
        </w:rPr>
        <w:t>遴选公告</w:t>
      </w:r>
    </w:p>
    <w:p w14:paraId="7D65047D"/>
    <w:p w14:paraId="276A3B61">
      <w:pPr>
        <w:spacing w:before="120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本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bCs/>
          <w:color w:val="444444"/>
          <w:sz w:val="24"/>
          <w:szCs w:val="24"/>
        </w:rPr>
        <w:t>为有需要的住院病人</w:t>
      </w:r>
      <w:r>
        <w:rPr>
          <w:rFonts w:hint="eastAsia" w:ascii="宋体" w:hAnsi="宋体" w:cs="宋体"/>
          <w:bCs/>
          <w:color w:val="444444"/>
          <w:sz w:val="24"/>
          <w:szCs w:val="24"/>
          <w:lang w:val="en-US" w:eastAsia="zh-CN"/>
        </w:rPr>
        <w:t>家属</w:t>
      </w:r>
      <w:r>
        <w:rPr>
          <w:rFonts w:hint="eastAsia" w:ascii="宋体" w:hAnsi="宋体" w:cs="宋体"/>
          <w:bCs/>
          <w:color w:val="444444"/>
          <w:sz w:val="24"/>
          <w:szCs w:val="24"/>
        </w:rPr>
        <w:t>提供有偿的</w:t>
      </w:r>
      <w:r>
        <w:rPr>
          <w:rFonts w:hint="eastAsia" w:ascii="宋体" w:hAnsi="宋体" w:cs="宋体"/>
          <w:bCs/>
          <w:color w:val="444444"/>
          <w:sz w:val="24"/>
          <w:szCs w:val="24"/>
          <w:lang w:val="en-US" w:eastAsia="zh-CN"/>
        </w:rPr>
        <w:t>产品便民</w:t>
      </w:r>
      <w:r>
        <w:rPr>
          <w:rFonts w:hint="eastAsia" w:ascii="宋体" w:hAnsi="宋体" w:cs="宋体"/>
          <w:bCs/>
          <w:sz w:val="24"/>
          <w:szCs w:val="24"/>
        </w:rPr>
        <w:t>服务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采用遴选方式进行，欢迎对此项目有意向且承接能力符合要求的供应商前来参加遴选。</w:t>
      </w:r>
    </w:p>
    <w:p w14:paraId="3174B767">
      <w:pPr>
        <w:pStyle w:val="7"/>
        <w:widowControl/>
        <w:spacing w:before="46" w:beforeAutospacing="0" w:afterAutospacing="0" w:line="54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一、遴选内容</w:t>
      </w:r>
    </w:p>
    <w:p w14:paraId="65ACC8FA">
      <w:pPr>
        <w:pStyle w:val="7"/>
        <w:widowControl/>
        <w:spacing w:before="46" w:beforeAutospacing="0" w:afterAutospacing="0" w:line="5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服务内容：中山大学附属第六医院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共享智能陪护产品便民服务</w:t>
      </w:r>
    </w:p>
    <w:p w14:paraId="3C416718">
      <w:pPr>
        <w:spacing w:before="120"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项目地点：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中山大学附属第六医院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知识城院区（广州市黄埔区中新广州知识城知明路688号）</w:t>
      </w:r>
    </w:p>
    <w:p w14:paraId="5C2227FD">
      <w:pPr>
        <w:spacing w:before="120" w:beforeLines="50"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二、本项目合同履行期限： </w:t>
      </w:r>
    </w:p>
    <w:p w14:paraId="0B94B3A3">
      <w:pPr>
        <w:spacing w:before="120" w:beforeLines="50" w:line="360" w:lineRule="auto"/>
        <w:ind w:firstLine="480" w:firstLineChars="200"/>
        <w:rPr>
          <w:rFonts w:hint="eastAsia" w:ascii="宋体" w:hAnsi="宋体" w:cs="宋体"/>
          <w:bCs/>
          <w:color w:val="404040"/>
          <w:sz w:val="24"/>
          <w:szCs w:val="24"/>
        </w:rPr>
      </w:pPr>
      <w:r>
        <w:rPr>
          <w:rFonts w:hint="eastAsia" w:ascii="宋体"/>
          <w:sz w:val="24"/>
          <w:szCs w:val="24"/>
        </w:rPr>
        <w:t>自合同签订生效之日起</w:t>
      </w:r>
      <w:r>
        <w:rPr>
          <w:rFonts w:hint="eastAsia" w:ascii="宋体"/>
          <w:sz w:val="24"/>
          <w:szCs w:val="24"/>
          <w:lang w:val="en-US" w:eastAsia="zh-CN"/>
        </w:rPr>
        <w:t>3</w:t>
      </w:r>
      <w:r>
        <w:rPr>
          <w:rFonts w:hint="eastAsia" w:ascii="宋体"/>
          <w:sz w:val="24"/>
          <w:szCs w:val="24"/>
        </w:rPr>
        <w:t>年</w:t>
      </w:r>
      <w:r>
        <w:rPr>
          <w:rFonts w:hint="eastAsia" w:ascii="宋体" w:hAnsi="宋体" w:cs="宋体"/>
          <w:bCs/>
          <w:color w:val="404040"/>
          <w:sz w:val="24"/>
          <w:szCs w:val="24"/>
        </w:rPr>
        <w:t>。</w:t>
      </w:r>
    </w:p>
    <w:p w14:paraId="6E8623A5">
      <w:pPr>
        <w:pStyle w:val="7"/>
        <w:widowControl/>
        <w:spacing w:before="46" w:beforeAutospacing="0" w:afterAutospacing="0" w:line="54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三、报名资质</w:t>
      </w:r>
    </w:p>
    <w:p w14:paraId="0BA5086D">
      <w:pPr>
        <w:pStyle w:val="7"/>
        <w:widowControl/>
        <w:spacing w:before="46" w:beforeAutospacing="0" w:afterAutospacing="0" w:line="540" w:lineRule="exact"/>
        <w:ind w:firstLine="480" w:firstLineChars="200"/>
        <w:rPr>
          <w:rFonts w:hint="eastAsia" w:ascii="宋体" w:hAnsi="宋体" w:eastAsia="宋体" w:cs="宋体"/>
          <w:bCs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1. 参选单位须提供企业法人营业执照副本，国家和地方税务登记证副本（复印件），组织机构代码证副本（复印件），法定代表人身份证（复印件），法定代表人授权函（原件）及被授权人身份证（复印件）。报名时请携带以上资质原件（复印件加盖公章），必须符合该项目的营业范围。</w:t>
      </w:r>
    </w:p>
    <w:p w14:paraId="6DAA34AF">
      <w:pPr>
        <w:spacing w:before="120" w:beforeLines="50" w:line="360" w:lineRule="auto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服务要求：</w:t>
      </w:r>
    </w:p>
    <w:p w14:paraId="09B14370">
      <w:pPr>
        <w:spacing w:before="120" w:beforeLines="50" w:line="360" w:lineRule="auto"/>
        <w:ind w:firstLine="480" w:firstLineChars="20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</w:rPr>
        <w:t>1.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共享智能陪护产品要求具备床头柜模式、座椅模式、陪护床模式三种一键式或便捷式物理变换功能，满足陪护人员休息、置物及辅助护理的多场景需求。产品须符合医院环境安全与卫生标准，边角圆滑，材质防水、抗菌、易清洁，承重能力需明确标定。</w:t>
      </w:r>
    </w:p>
    <w:p w14:paraId="36685EBF">
      <w:pPr>
        <w:spacing w:before="120" w:beforeLines="50"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供应商负责产品的硬件与软件系统的安装调试、操作培训、定期维护、故障维修及软硬件升级改造，确保产品在服务器内处于良好工作状态</w:t>
      </w:r>
      <w:r>
        <w:rPr>
          <w:rFonts w:hint="eastAsia" w:ascii="宋体" w:hAnsi="宋体" w:cs="宋体"/>
          <w:bCs/>
          <w:sz w:val="24"/>
          <w:szCs w:val="24"/>
        </w:rPr>
        <w:t>。</w:t>
      </w:r>
    </w:p>
    <w:p w14:paraId="0FEE5F9D">
      <w:pPr>
        <w:spacing w:before="120" w:beforeLines="50" w:line="360" w:lineRule="auto"/>
        <w:ind w:firstLine="480" w:firstLineChars="20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3.供应商应配备专职服务团队驻场或定期巡检，提供7x24小时应急响应通道。出现故障时，应在 2小时内响应，4小时内解决或提供备品。</w:t>
      </w:r>
    </w:p>
    <w:p w14:paraId="6DEAE802">
      <w:pPr>
        <w:spacing w:before="120" w:beforeLines="50" w:line="360" w:lineRule="auto"/>
        <w:ind w:firstLine="480" w:firstLineChars="20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4.供应商应根据医院实际使用反馈与技术发展趋势，定期（如每半年）或不定期提供免费的系统优化、功能升级服务。涉及重大硬件改造，应提前提交方案并经医院同意后实施。。</w:t>
      </w:r>
    </w:p>
    <w:p w14:paraId="7B3311E3">
      <w:pPr>
        <w:spacing w:before="120" w:beforeLines="50"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szCs w:val="24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 w:val="24"/>
          <w:szCs w:val="24"/>
        </w:rPr>
        <w:t>.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供应商须严格按照医院提供的部署计划与时间表，分批次、分区域完成产品的配送、安装与调试，最大限度减少对医院正常运营的干扰。每一批次产品安装调试完成后，须由医院依据双方确认的技术规格与功能清单进行验收，验收合格后方可投入使用。</w:t>
      </w:r>
    </w:p>
    <w:p w14:paraId="4CD43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  <w:t>5.供应商免费向医院提供智能陪护产品及全部基础软硬件。产品向终端用户（患者家属/陪护人员）收取租赁使用费，收费标准以供应商中标时承诺的租赁价格为准，未经医院书面同意不得上调。供应商应向医院方定期提供清晰透明的使用数据与收益报表。</w:t>
      </w:r>
    </w:p>
    <w:p w14:paraId="111293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  <w:t>6.产品运行过程中收集的任何数据，其所有权归医院所有。供应商须承诺对数据严格保密，未经授权不得泄露或用于其他用途，并符合国家网络安全与个人信息保护法律法规。</w:t>
      </w:r>
    </w:p>
    <w:p w14:paraId="0AF54E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  <w:t>7.供应商应为产品购买公众责任险，以覆盖因产品本身质量问题导致的意外人身伤害或财产损失。</w:t>
      </w:r>
    </w:p>
    <w:p w14:paraId="19E458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  <w:t>8.合同期满或提前终止时，供应商应负责无偿、完好地移除全部产品，并恢复场地原状。</w:t>
      </w:r>
    </w:p>
    <w:p w14:paraId="186B63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kern w:val="44"/>
          <w:sz w:val="24"/>
          <w:szCs w:val="24"/>
          <w:highlight w:val="none"/>
          <w:lang w:val="en-US" w:eastAsia="zh-CN"/>
        </w:rPr>
        <w:t>9.供应商须提供1万元履约保函或保证金，以保障其服务承诺的履行。</w:t>
      </w:r>
    </w:p>
    <w:p w14:paraId="70C305A1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265DF7F">
      <w:pPr>
        <w:pStyle w:val="7"/>
        <w:widowControl/>
        <w:numPr>
          <w:ilvl w:val="0"/>
          <w:numId w:val="0"/>
        </w:numPr>
        <w:spacing w:before="46" w:beforeAutospacing="0" w:afterAutospacing="0" w:line="54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遴选办法（共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分）</w:t>
      </w:r>
    </w:p>
    <w:tbl>
      <w:tblPr>
        <w:tblStyle w:val="9"/>
        <w:tblW w:w="8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158"/>
        <w:gridCol w:w="3405"/>
        <w:gridCol w:w="616"/>
      </w:tblGrid>
      <w:tr w14:paraId="3F89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评分大类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评分项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评分细则与标准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7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 w14:paraId="0679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4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一、产品与方案质量 (35分)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C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1.1 产品功能与设计 (15分)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D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 三种模式变换的</w:t>
            </w:r>
            <w:r>
              <w:rPr>
                <w:rStyle w:val="17"/>
                <w:lang w:val="en-US" w:eastAsia="zh-CN" w:bidi="ar"/>
              </w:rPr>
              <w:t>便捷性、稳定性、静音效果及安全性。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AA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E21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60D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B418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0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Style w:val="17"/>
                <w:lang w:val="en-US" w:eastAsia="zh-CN" w:bidi="ar"/>
              </w:rPr>
              <w:t>材质、工艺及感控设计。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C1A9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0ECC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B61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96E73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 </w:t>
            </w:r>
            <w:r>
              <w:rPr>
                <w:rStyle w:val="17"/>
                <w:lang w:val="en-US" w:eastAsia="zh-CN" w:bidi="ar"/>
              </w:rPr>
              <w:t>人机交互与支付流程的流畅性。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25187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0A68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930F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1.2 技术方案先进性 (12分)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4F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 系统</w:t>
            </w:r>
            <w:r>
              <w:rPr>
                <w:rStyle w:val="17"/>
                <w:lang w:val="en-US" w:eastAsia="zh-CN" w:bidi="ar"/>
              </w:rPr>
              <w:t>稳定性、扩展性及兼容性。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AA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DC6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265D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F3B25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7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Style w:val="17"/>
                <w:lang w:val="en-US" w:eastAsia="zh-CN" w:bidi="ar"/>
              </w:rPr>
              <w:t>智能化功能的实用性与创新性。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D31F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6D30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77CC6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2B65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B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 </w:t>
            </w:r>
            <w:r>
              <w:rPr>
                <w:rStyle w:val="17"/>
                <w:lang w:val="en-US" w:eastAsia="zh-CN" w:bidi="ar"/>
              </w:rPr>
              <w:t>技术升级路径的清晰性与可行性。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73A1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3D52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CE1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1.3 样品或案例实测 (8分)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2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 提供样品现场体验效果优良。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3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2F5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EB5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34DFA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B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3"/>
                <w:szCs w:val="23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2. </w:t>
            </w:r>
            <w:r>
              <w:rPr>
                <w:rStyle w:val="18"/>
                <w:lang w:val="en-US" w:eastAsia="zh-CN" w:bidi="ar"/>
              </w:rPr>
              <w:t>提供已运营的成功案例。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FB271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64C8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二、综合服务与实施能力 (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分)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2.1 运维服务体系 (1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E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 提供完整的</w:t>
            </w:r>
            <w:r>
              <w:rPr>
                <w:rStyle w:val="17"/>
                <w:lang w:val="en-US" w:eastAsia="zh-CN" w:bidi="ar"/>
              </w:rPr>
              <w:t>全周期服务计划（安装、培训、巡检、维修、升级）。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4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BEB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0D62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9AFFC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13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 承诺明确的</w:t>
            </w:r>
            <w:r>
              <w:rPr>
                <w:rStyle w:val="17"/>
                <w:lang w:val="en-US" w:eastAsia="zh-CN" w:bidi="ar"/>
              </w:rPr>
              <w:t>故障响应与解决时限。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B82D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7D4E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30C5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67515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5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 </w:t>
            </w:r>
            <w:r>
              <w:rPr>
                <w:rStyle w:val="17"/>
                <w:lang w:val="en-US" w:eastAsia="zh-CN" w:bidi="ar"/>
              </w:rPr>
              <w:t>备品备件保障方案合理可靠。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D3C28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6545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C393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6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2.2 实施与部署方案 (10分)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4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</w:t>
            </w:r>
            <w:r>
              <w:rPr>
                <w:rStyle w:val="17"/>
                <w:lang w:val="en-US" w:eastAsia="zh-CN" w:bidi="ar"/>
              </w:rPr>
              <w:t>分批部署计划详实，对医院运营影响小。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A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A35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EC53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283E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1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Style w:val="17"/>
                <w:lang w:val="en-US" w:eastAsia="zh-CN" w:bidi="ar"/>
              </w:rPr>
              <w:t>驻场/巡检团队配置专业、专职。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62F93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1365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BA81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DD4A8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 </w:t>
            </w:r>
            <w:r>
              <w:rPr>
                <w:rStyle w:val="17"/>
                <w:lang w:val="en-US" w:eastAsia="zh-CN" w:bidi="ar"/>
              </w:rPr>
              <w:t>培训方案针对性强，覆盖全面。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D124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3545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6304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2.3 持续升级改造承诺 (5分)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F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承诺定期</w:t>
            </w:r>
            <w:r>
              <w:rPr>
                <w:rStyle w:val="17"/>
                <w:lang w:val="en-US" w:eastAsia="zh-CN" w:bidi="ar"/>
              </w:rPr>
              <w:t>免费软件升级，并对硬件改造需求有快速响应机制。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E9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D67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3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三、商务模式与价格 (2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分)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0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3.1 租赁价格与收益模型 (1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F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</w:t>
            </w:r>
            <w:r>
              <w:rPr>
                <w:rStyle w:val="17"/>
                <w:lang w:val="en-US" w:eastAsia="zh-CN" w:bidi="ar"/>
              </w:rPr>
              <w:t>终端用户租赁单价合理，具备竞争力。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B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38F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21B2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9BB5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Style w:val="17"/>
                <w:lang w:val="en-US" w:eastAsia="zh-CN" w:bidi="ar"/>
              </w:rPr>
              <w:t>收益结算与对账流程清晰、便捷、周期明确。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B2BCA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180C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B97F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B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3.2 财务方案与透明性 (10分)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9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确认 </w:t>
            </w:r>
            <w:r>
              <w:rPr>
                <w:rStyle w:val="17"/>
                <w:lang w:val="en-US" w:eastAsia="zh-CN" w:bidi="ar"/>
              </w:rPr>
              <w:t>“零采购成本”模式，免费提供产品。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1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A50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4FEC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EA180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9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 承诺提供</w:t>
            </w:r>
            <w:r>
              <w:rPr>
                <w:rStyle w:val="17"/>
                <w:lang w:val="en-US" w:eastAsia="zh-CN" w:bidi="ar"/>
              </w:rPr>
              <w:t>详细使用数据与收益报表，支持决策。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497D9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73DD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A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四、数据安全与风险管控 (10分)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4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4.1 数据安全与合规 (6分)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B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 明确</w:t>
            </w:r>
            <w:r>
              <w:rPr>
                <w:rStyle w:val="17"/>
                <w:lang w:val="en-US" w:eastAsia="zh-CN" w:bidi="ar"/>
              </w:rPr>
              <w:t>数据所有权归医院，提供全面的数据安全与保密方案。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26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463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FAF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9B9C6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7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 方案符合国家网络安全与个人信息保护相关法规。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FDD8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5031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ADEF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4.2 风险保障措施 (4分)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1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 承诺投保</w:t>
            </w:r>
            <w:r>
              <w:rPr>
                <w:rStyle w:val="17"/>
                <w:lang w:val="en-US" w:eastAsia="zh-CN" w:bidi="ar"/>
              </w:rPr>
              <w:t>产品公众责任险。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4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7C7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2F8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4D44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 提供合理的</w:t>
            </w:r>
            <w:r>
              <w:rPr>
                <w:rStyle w:val="17"/>
                <w:lang w:val="en-US" w:eastAsia="zh-CN" w:bidi="ar"/>
              </w:rPr>
              <w:t>合同终止退出与资产处置方案。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B66F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62C6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7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五、公司资质与业绩 (附加 10分)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84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5.1 公司综合实力与经验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 企业资质、相关认证（如质量管理体系认证）。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B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335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C187F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E321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7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Style w:val="17"/>
                <w:lang w:val="en-US" w:eastAsia="zh-CN" w:bidi="ar"/>
              </w:rPr>
              <w:t>同类项目成功案例数量与质量（每例得分，设上限）。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6D9C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5F93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B6B8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11741">
            <w:pPr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3. 项目团队核心成员经验。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C1E4">
            <w:pPr>
              <w:jc w:val="right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</w:tbl>
    <w:p w14:paraId="413519D2">
      <w:pPr>
        <w:pStyle w:val="7"/>
        <w:widowControl/>
        <w:numPr>
          <w:ilvl w:val="0"/>
          <w:numId w:val="0"/>
        </w:numPr>
        <w:spacing w:before="46" w:beforeAutospacing="0" w:afterAutospacing="0" w:line="540" w:lineRule="exact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</w:p>
    <w:p w14:paraId="014D79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、遴选工作报名时间及地点</w:t>
      </w:r>
    </w:p>
    <w:p w14:paraId="7FF65F49">
      <w:pPr>
        <w:pStyle w:val="7"/>
        <w:widowControl/>
        <w:spacing w:before="46" w:beforeAutospacing="0" w:afterAutospacing="0" w:line="5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1. 报名方式： 本次报名不收取任何费用，不接受现场报名，请有意向的公司将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"mailto:全部资料加盖公章后扫描，打包上述电子扫描件发送至我院邮箱：zslyzwk38254135@163.com"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全部资料加盖公章后扫描，打包上述电子扫描件发送至我院邮箱：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150526483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@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qq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.com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，打包文件标题请注明（项目名称+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公司名称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+联系人）。</w:t>
      </w:r>
    </w:p>
    <w:p w14:paraId="24E1EFEC">
      <w:pPr>
        <w:pStyle w:val="7"/>
        <w:widowControl/>
        <w:spacing w:before="46" w:beforeAutospacing="0" w:afterAutospacing="0" w:line="540" w:lineRule="exact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2. 报名截止日期为：202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日17:00（北京时间），逾期不再受理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。</w:t>
      </w:r>
    </w:p>
    <w:p w14:paraId="1237C33B">
      <w:pPr>
        <w:pStyle w:val="7"/>
        <w:widowControl/>
        <w:spacing w:before="46" w:beforeAutospacing="0" w:afterAutospacing="0" w:line="5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. 审核通过的公司将通过手机短信通知，并安排后续工作。</w:t>
      </w:r>
    </w:p>
    <w:p w14:paraId="6753A16C">
      <w:pPr>
        <w:pStyle w:val="7"/>
        <w:widowControl/>
        <w:spacing w:before="46" w:beforeAutospacing="0" w:afterAutospacing="0" w:line="54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、其他事项</w:t>
      </w:r>
    </w:p>
    <w:p w14:paraId="205915F4">
      <w:pPr>
        <w:pStyle w:val="7"/>
        <w:widowControl/>
        <w:spacing w:before="46" w:beforeAutospacing="0" w:afterAutospacing="0" w:line="5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1、我院后勤保障处保留对询价文件的最终解释权。</w:t>
      </w:r>
    </w:p>
    <w:p w14:paraId="1289CAB4">
      <w:pPr>
        <w:pStyle w:val="7"/>
        <w:widowControl/>
        <w:spacing w:before="46" w:beforeAutospacing="0" w:afterAutospacing="0" w:line="5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2、供应商应确保报价文件的真实性和完整性，不得有虚假陈述或隐瞒重要信息。</w:t>
      </w:r>
    </w:p>
    <w:p w14:paraId="7F092875">
      <w:pPr>
        <w:pStyle w:val="7"/>
        <w:widowControl/>
        <w:spacing w:before="46" w:beforeAutospacing="0" w:afterAutospacing="0" w:line="54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    如有疑问，请致电我院后勤保障处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高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老师：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18122329357。</w:t>
      </w:r>
    </w:p>
    <w:p w14:paraId="0C327BD5">
      <w:pPr>
        <w:pStyle w:val="7"/>
        <w:widowControl/>
        <w:spacing w:before="120" w:beforeAutospacing="0" w:afterAutospacing="0" w:line="540" w:lineRule="exact"/>
        <w:ind w:firstLine="480" w:firstLineChars="200"/>
        <w:jc w:val="righ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                          </w:t>
      </w:r>
    </w:p>
    <w:p w14:paraId="5BF98718">
      <w:pPr>
        <w:pStyle w:val="7"/>
        <w:widowControl/>
        <w:spacing w:before="120" w:beforeAutospacing="0" w:afterAutospacing="0" w:line="540" w:lineRule="exact"/>
        <w:ind w:firstLine="480" w:firstLineChars="200"/>
        <w:jc w:val="righ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             中山大学附属第六医院</w:t>
      </w:r>
    </w:p>
    <w:p w14:paraId="27C853BF">
      <w:pPr>
        <w:pStyle w:val="7"/>
        <w:widowControl/>
        <w:spacing w:before="120" w:beforeAutospacing="0" w:afterAutospacing="0" w:line="540" w:lineRule="exact"/>
        <w:ind w:right="560"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后勤保障处</w:t>
      </w:r>
    </w:p>
    <w:p w14:paraId="16A54719">
      <w:pPr>
        <w:pStyle w:val="7"/>
        <w:widowControl/>
        <w:spacing w:beforeAutospacing="0" w:afterAutospacing="0" w:line="5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                        202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月1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6D71D247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7B0AB807-F6E4-4B60-8FAB-ACE37AB752F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7F6B619-8479-4D62-A86C-FC3C155571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E30ABF1-2677-422C-961A-1FAA9AD4BF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3579"/>
    <w:rsid w:val="05973873"/>
    <w:rsid w:val="05AC5251"/>
    <w:rsid w:val="08140402"/>
    <w:rsid w:val="0F6878B9"/>
    <w:rsid w:val="16834F76"/>
    <w:rsid w:val="1F601F3A"/>
    <w:rsid w:val="25E15AAF"/>
    <w:rsid w:val="2AA0747E"/>
    <w:rsid w:val="35BD150D"/>
    <w:rsid w:val="3C4032F2"/>
    <w:rsid w:val="42D97037"/>
    <w:rsid w:val="43C32572"/>
    <w:rsid w:val="46226376"/>
    <w:rsid w:val="48CB3D79"/>
    <w:rsid w:val="4A7410F4"/>
    <w:rsid w:val="4F4E4557"/>
    <w:rsid w:val="508F1B41"/>
    <w:rsid w:val="51DB6E54"/>
    <w:rsid w:val="5F2D3F20"/>
    <w:rsid w:val="617455AE"/>
    <w:rsid w:val="6AFC7AAB"/>
    <w:rsid w:val="6C062692"/>
    <w:rsid w:val="742F3E28"/>
    <w:rsid w:val="76DB3918"/>
    <w:rsid w:val="77262ED6"/>
    <w:rsid w:val="7AF50C96"/>
    <w:rsid w:val="7C9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annotation text"/>
    <w:basedOn w:val="1"/>
    <w:qFormat/>
    <w:uiPriority w:val="99"/>
    <w:pPr>
      <w:jc w:val="left"/>
    </w:pPr>
    <w:rPr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Normal (Web)"/>
    <w:basedOn w:val="1"/>
    <w:unhideWhenUsed/>
    <w:qFormat/>
    <w:uiPriority w:val="0"/>
    <w:pPr>
      <w:jc w:val="left"/>
    </w:pPr>
    <w:rPr>
      <w:kern w:val="0"/>
      <w:sz w:val="24"/>
    </w:rPr>
  </w:style>
  <w:style w:type="paragraph" w:styleId="8">
    <w:name w:val="Body Text First Indent"/>
    <w:basedOn w:val="5"/>
    <w:unhideWhenUsed/>
    <w:qFormat/>
    <w:uiPriority w:val="99"/>
    <w:pPr>
      <w:ind w:firstLine="420" w:firstLineChars="100"/>
    </w:pPr>
    <w:rPr>
      <w:rFonts w:ascii="Times New Roman" w:hAnsi="Times New Roman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标准文件_一级条标题"/>
    <w:basedOn w:val="13"/>
    <w:next w:val="14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3">
    <w:name w:val="标准文件_章标题"/>
    <w:next w:val="14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1"/>
    <w:basedOn w:val="10"/>
    <w:qFormat/>
    <w:uiPriority w:val="0"/>
    <w:rPr>
      <w:rFonts w:hint="default" w:ascii="Segoe UI" w:hAnsi="Segoe UI" w:eastAsia="Segoe UI" w:cs="Segoe UI"/>
      <w:color w:val="0F1115"/>
      <w:sz w:val="22"/>
      <w:szCs w:val="22"/>
      <w:u w:val="none"/>
    </w:rPr>
  </w:style>
  <w:style w:type="character" w:customStyle="1" w:styleId="18">
    <w:name w:val="font31"/>
    <w:basedOn w:val="10"/>
    <w:uiPriority w:val="0"/>
    <w:rPr>
      <w:rFonts w:hint="eastAsia" w:ascii="宋体" w:hAnsi="宋体" w:eastAsia="宋体" w:cs="宋体"/>
      <w:color w:val="0F1115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2055</Words>
  <Characters>2193</Characters>
  <Lines>0</Lines>
  <Paragraphs>0</Paragraphs>
  <TotalTime>7</TotalTime>
  <ScaleCrop>false</ScaleCrop>
  <LinksUpToDate>false</LinksUpToDate>
  <CharactersWithSpaces>2320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2025-06-11T07:25:00Z</dcterms:created>
  <dc:creator>Administrator</dc:creator>
  <cp:lastModifiedBy>An apple a day can't</cp:lastModifiedBy>
  <dcterms:modified xsi:type="dcterms:W3CDTF">2026-01-19T09:10:55Z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eyJoZGlkIjoiOWI4M2IxOTFlYmYxYTU3NDE4ZGQyYWJkZGQyOTE0YmYiLCJ1c2VySWQiOiIyNzY1NjU5NzkifQ==</vt:lpwstr>
  </property>
  <property fmtid="{D5CDD505-2E9C-101B-9397-08002B2CF9AE}" pid="4" name="ICV">
    <vt:lpwstr>416ECF5700124F6EA77E6D6417FE3DFA_13</vt:lpwstr>
  </property>
</Properties>
</file>