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76" w:lineRule="auto"/>
        <w:rPr>
          <w:rFonts w:hint="eastAsia" w:ascii="仿宋_GB2312" w:hAnsi="宋体" w:eastAsia="仿宋_GB2312"/>
          <w:b/>
          <w:bCs/>
          <w:sz w:val="28"/>
          <w:szCs w:val="28"/>
        </w:rPr>
      </w:pPr>
    </w:p>
    <w:p>
      <w:pPr>
        <w:pStyle w:val="14"/>
        <w:numPr>
          <w:ilvl w:val="0"/>
          <w:numId w:val="2"/>
        </w:numPr>
        <w:tabs>
          <w:tab w:val="left" w:pos="2340"/>
        </w:tabs>
        <w:adjustRightInd w:val="0"/>
        <w:snapToGrid w:val="0"/>
        <w:spacing w:line="276" w:lineRule="auto"/>
        <w:rPr>
          <w:rFonts w:ascii="仿宋_GB2312" w:hAnsi="宋体" w:eastAsia="仿宋_GB2312"/>
          <w:b/>
          <w:bCs/>
          <w:kern w:val="0"/>
          <w:sz w:val="28"/>
          <w:szCs w:val="28"/>
        </w:rPr>
      </w:pPr>
      <w:r>
        <w:rPr>
          <w:rFonts w:hint="eastAsia" w:ascii="仿宋_GB2312" w:hAnsi="宋体" w:eastAsia="仿宋_GB2312"/>
          <w:b/>
          <w:bCs/>
          <w:kern w:val="0"/>
          <w:sz w:val="28"/>
          <w:szCs w:val="28"/>
        </w:rPr>
        <w:t>项目概况：</w:t>
      </w:r>
    </w:p>
    <w:p>
      <w:pPr>
        <w:pStyle w:val="14"/>
        <w:numPr>
          <w:ilvl w:val="0"/>
          <w:numId w:val="3"/>
        </w:numPr>
        <w:tabs>
          <w:tab w:val="left" w:pos="2340"/>
        </w:tabs>
        <w:adjustRightInd w:val="0"/>
        <w:snapToGrid w:val="0"/>
        <w:spacing w:line="276" w:lineRule="auto"/>
        <w:ind w:left="562" w:firstLine="562"/>
        <w:rPr>
          <w:rFonts w:ascii="仿宋_GB2312" w:hAnsi="宋体" w:eastAsia="仿宋_GB2312"/>
          <w:bCs/>
          <w:kern w:val="0"/>
          <w:sz w:val="28"/>
          <w:szCs w:val="28"/>
        </w:rPr>
      </w:pPr>
      <w:r>
        <w:rPr>
          <w:rFonts w:hint="eastAsia" w:ascii="仿宋_GB2312" w:hAnsi="宋体" w:eastAsia="仿宋_GB2312"/>
          <w:bCs/>
          <w:kern w:val="0"/>
          <w:sz w:val="28"/>
          <w:szCs w:val="28"/>
        </w:rPr>
        <w:t>范围中山大学附属第六医院知识城院区，地址位于广州市黄埔区知明路688号，具体以医院指定的区域为准。预算总额：800万元，合作期限为3年。</w:t>
      </w:r>
    </w:p>
    <w:p>
      <w:pPr>
        <w:pStyle w:val="14"/>
        <w:numPr>
          <w:ilvl w:val="0"/>
          <w:numId w:val="2"/>
        </w:numPr>
        <w:tabs>
          <w:tab w:val="left" w:pos="2340"/>
        </w:tabs>
        <w:adjustRightInd w:val="0"/>
        <w:snapToGrid w:val="0"/>
        <w:spacing w:line="276" w:lineRule="auto"/>
        <w:rPr>
          <w:rFonts w:ascii="仿宋_GB2312" w:hAnsi="宋体" w:eastAsia="仿宋_GB2312"/>
          <w:b/>
          <w:bCs/>
          <w:kern w:val="0"/>
          <w:sz w:val="28"/>
          <w:szCs w:val="28"/>
        </w:rPr>
      </w:pPr>
      <w:r>
        <w:rPr>
          <w:rFonts w:hint="eastAsia" w:ascii="仿宋_GB2312" w:hAnsi="宋体" w:eastAsia="仿宋_GB2312"/>
          <w:b/>
          <w:bCs/>
          <w:kern w:val="0"/>
          <w:sz w:val="28"/>
          <w:szCs w:val="28"/>
        </w:rPr>
        <w:t>服务对象：</w:t>
      </w:r>
    </w:p>
    <w:p>
      <w:pPr>
        <w:pStyle w:val="14"/>
        <w:numPr>
          <w:ilvl w:val="0"/>
          <w:numId w:val="4"/>
        </w:numPr>
        <w:tabs>
          <w:tab w:val="left" w:pos="2340"/>
        </w:tabs>
        <w:adjustRightInd w:val="0"/>
        <w:snapToGrid w:val="0"/>
        <w:spacing w:line="276" w:lineRule="auto"/>
        <w:ind w:left="562" w:firstLine="562"/>
        <w:rPr>
          <w:rFonts w:ascii="仿宋_GB2312" w:hAnsi="宋体" w:eastAsia="仿宋_GB2312"/>
          <w:bCs/>
          <w:kern w:val="0"/>
          <w:sz w:val="28"/>
          <w:szCs w:val="28"/>
        </w:rPr>
      </w:pPr>
      <w:r>
        <w:rPr>
          <w:rFonts w:hint="eastAsia" w:ascii="仿宋_GB2312" w:hAnsi="宋体" w:eastAsia="仿宋_GB2312"/>
          <w:bCs/>
          <w:kern w:val="0"/>
          <w:sz w:val="28"/>
          <w:szCs w:val="28"/>
        </w:rPr>
        <w:t>医院工作人员（包括但不限于职工、进修生、实习生等）</w:t>
      </w:r>
    </w:p>
    <w:p>
      <w:pPr>
        <w:pStyle w:val="14"/>
        <w:numPr>
          <w:ilvl w:val="0"/>
          <w:numId w:val="4"/>
        </w:numPr>
        <w:tabs>
          <w:tab w:val="left" w:pos="2340"/>
        </w:tabs>
        <w:adjustRightInd w:val="0"/>
        <w:snapToGrid w:val="0"/>
        <w:spacing w:line="276" w:lineRule="auto"/>
        <w:ind w:left="562" w:firstLine="562"/>
        <w:rPr>
          <w:rFonts w:ascii="仿宋_GB2312" w:hAnsi="宋体" w:eastAsia="仿宋_GB2312"/>
          <w:bCs/>
          <w:kern w:val="0"/>
          <w:sz w:val="28"/>
          <w:szCs w:val="28"/>
        </w:rPr>
      </w:pPr>
      <w:r>
        <w:rPr>
          <w:rFonts w:hint="eastAsia" w:ascii="仿宋_GB2312" w:hAnsi="宋体" w:eastAsia="仿宋_GB2312"/>
          <w:bCs/>
          <w:kern w:val="0"/>
          <w:sz w:val="28"/>
          <w:szCs w:val="28"/>
        </w:rPr>
        <w:t>医院住院患者及家属</w:t>
      </w:r>
    </w:p>
    <w:p>
      <w:pPr>
        <w:pStyle w:val="14"/>
        <w:numPr>
          <w:ilvl w:val="0"/>
          <w:numId w:val="2"/>
        </w:numPr>
        <w:tabs>
          <w:tab w:val="left" w:pos="2340"/>
        </w:tabs>
        <w:adjustRightInd w:val="0"/>
        <w:snapToGrid w:val="0"/>
        <w:spacing w:line="276" w:lineRule="auto"/>
        <w:rPr>
          <w:rFonts w:ascii="仿宋_GB2312" w:hAnsi="宋体" w:eastAsia="仿宋_GB2312"/>
          <w:b/>
          <w:bCs/>
          <w:kern w:val="0"/>
          <w:sz w:val="28"/>
          <w:szCs w:val="28"/>
        </w:rPr>
      </w:pPr>
      <w:r>
        <w:rPr>
          <w:rFonts w:hint="eastAsia" w:ascii="仿宋_GB2312" w:hAnsi="宋体" w:eastAsia="仿宋_GB2312"/>
          <w:b/>
          <w:bCs/>
          <w:kern w:val="0"/>
          <w:sz w:val="28"/>
          <w:szCs w:val="28"/>
        </w:rPr>
        <w:t>服务需求</w:t>
      </w:r>
    </w:p>
    <w:p>
      <w:pPr>
        <w:pStyle w:val="14"/>
        <w:tabs>
          <w:tab w:val="left" w:pos="2340"/>
        </w:tabs>
        <w:adjustRightInd w:val="0"/>
        <w:snapToGrid w:val="0"/>
        <w:spacing w:line="276" w:lineRule="auto"/>
        <w:ind w:firstLine="560" w:firstLineChars="200"/>
        <w:rPr>
          <w:rFonts w:ascii="仿宋_GB2312" w:hAnsi="宋体" w:eastAsia="仿宋_GB2312"/>
          <w:bCs/>
          <w:kern w:val="0"/>
          <w:sz w:val="28"/>
          <w:szCs w:val="28"/>
        </w:rPr>
      </w:pPr>
      <w:r>
        <w:rPr>
          <w:rFonts w:hint="eastAsia" w:ascii="仿宋_GB2312" w:hAnsi="宋体" w:eastAsia="仿宋_GB2312"/>
          <w:bCs/>
          <w:kern w:val="0"/>
          <w:sz w:val="28"/>
          <w:szCs w:val="28"/>
        </w:rPr>
        <w:t>1、餐饮驻场服务内容和要求</w:t>
      </w:r>
    </w:p>
    <w:p>
      <w:pPr>
        <w:pStyle w:val="14"/>
        <w:tabs>
          <w:tab w:val="left" w:pos="2340"/>
        </w:tabs>
        <w:adjustRightInd w:val="0"/>
        <w:snapToGrid w:val="0"/>
        <w:spacing w:line="276" w:lineRule="auto"/>
        <w:ind w:firstLine="560" w:firstLineChars="200"/>
        <w:rPr>
          <w:rFonts w:ascii="仿宋_GB2312" w:hAnsi="宋体" w:eastAsia="仿宋_GB2312"/>
          <w:bCs/>
          <w:kern w:val="0"/>
          <w:sz w:val="28"/>
          <w:szCs w:val="28"/>
        </w:rPr>
      </w:pPr>
      <w:r>
        <w:rPr>
          <w:rFonts w:hint="eastAsia" w:ascii="仿宋_GB2312" w:hAnsi="宋体" w:eastAsia="仿宋_GB2312"/>
          <w:bCs/>
          <w:kern w:val="0"/>
          <w:sz w:val="28"/>
          <w:szCs w:val="28"/>
        </w:rPr>
        <w:t>为医院提供病人餐、医嘱餐（配送至床位），职工餐在院内制作，医院监督管理。</w:t>
      </w:r>
    </w:p>
    <w:p>
      <w:pPr>
        <w:pStyle w:val="14"/>
        <w:tabs>
          <w:tab w:val="left" w:pos="2340"/>
        </w:tabs>
        <w:adjustRightInd w:val="0"/>
        <w:snapToGrid w:val="0"/>
        <w:spacing w:line="276" w:lineRule="auto"/>
        <w:ind w:firstLine="560" w:firstLineChars="200"/>
        <w:rPr>
          <w:rFonts w:ascii="仿宋_GB2312" w:hAnsi="宋体" w:eastAsia="仿宋_GB2312"/>
          <w:bCs/>
          <w:kern w:val="0"/>
          <w:sz w:val="28"/>
          <w:szCs w:val="28"/>
        </w:rPr>
      </w:pPr>
      <w:r>
        <w:rPr>
          <w:rFonts w:hint="eastAsia" w:ascii="仿宋_GB2312" w:hAnsi="宋体" w:eastAsia="仿宋_GB2312"/>
          <w:bCs/>
          <w:kern w:val="0"/>
          <w:sz w:val="28"/>
          <w:szCs w:val="28"/>
        </w:rPr>
        <w:t>▲1.1.职工餐</w:t>
      </w:r>
    </w:p>
    <w:p>
      <w:pPr>
        <w:pStyle w:val="14"/>
        <w:tabs>
          <w:tab w:val="left" w:pos="2340"/>
        </w:tabs>
        <w:adjustRightInd w:val="0"/>
        <w:snapToGrid w:val="0"/>
        <w:spacing w:line="276" w:lineRule="auto"/>
        <w:ind w:firstLine="560" w:firstLineChars="200"/>
        <w:rPr>
          <w:rFonts w:ascii="仿宋_GB2312" w:hAnsi="宋体" w:eastAsia="仿宋_GB2312"/>
          <w:bCs/>
          <w:kern w:val="0"/>
          <w:sz w:val="28"/>
          <w:szCs w:val="28"/>
        </w:rPr>
      </w:pPr>
      <w:r>
        <w:rPr>
          <w:rFonts w:hint="eastAsia" w:ascii="仿宋_GB2312" w:hAnsi="宋体" w:eastAsia="仿宋_GB2312"/>
          <w:bCs/>
          <w:kern w:val="0"/>
          <w:sz w:val="28"/>
          <w:szCs w:val="28"/>
        </w:rPr>
        <w:t>（1）供餐范围及服务要求：</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为医院的在职工作人员提供早、中、晚餐供餐服务，包括堂食、网络订餐、接待餐、加时餐、手术室餐、节日活动餐等。</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（2）员工餐(配送至科室)</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（3）供餐人数（仅供参考）</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前期在职职工约300人、后随业务量增长而增加人员。</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（4）供餐时间（全年无休）</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订餐截止时间：</w:t>
      </w:r>
    </w:p>
    <w:p>
      <w:pPr>
        <w:pStyle w:val="14"/>
        <w:numPr>
          <w:ilvl w:val="0"/>
          <w:numId w:val="5"/>
        </w:numPr>
        <w:tabs>
          <w:tab w:val="left" w:pos="2340"/>
        </w:tabs>
        <w:adjustRightInd w:val="0"/>
        <w:snapToGrid w:val="0"/>
        <w:spacing w:line="276" w:lineRule="auto"/>
        <w:rPr>
          <w:rFonts w:ascii="仿宋" w:hAnsi="仿宋" w:eastAsia="仿宋" w:cs="仿宋"/>
          <w:kern w:val="0"/>
          <w:sz w:val="28"/>
          <w:szCs w:val="28"/>
        </w:rPr>
      </w:pPr>
      <w:r>
        <w:rPr>
          <w:rFonts w:hint="eastAsia" w:ascii="仿宋" w:hAnsi="仿宋" w:eastAsia="仿宋" w:cs="仿宋"/>
          <w:kern w:val="0"/>
          <w:sz w:val="28"/>
          <w:szCs w:val="28"/>
        </w:rPr>
        <w:t>早餐订餐时间：前一天23:00前</w:t>
      </w:r>
    </w:p>
    <w:p>
      <w:pPr>
        <w:pStyle w:val="14"/>
        <w:numPr>
          <w:ilvl w:val="0"/>
          <w:numId w:val="5"/>
        </w:numPr>
        <w:tabs>
          <w:tab w:val="left" w:pos="2340"/>
        </w:tabs>
        <w:adjustRightInd w:val="0"/>
        <w:snapToGrid w:val="0"/>
        <w:spacing w:line="276" w:lineRule="auto"/>
        <w:rPr>
          <w:rFonts w:ascii="仿宋" w:hAnsi="仿宋" w:eastAsia="仿宋" w:cs="仿宋"/>
          <w:kern w:val="0"/>
          <w:sz w:val="28"/>
          <w:szCs w:val="28"/>
        </w:rPr>
      </w:pPr>
      <w:r>
        <w:rPr>
          <w:rFonts w:hint="eastAsia" w:ascii="仿宋" w:hAnsi="仿宋" w:eastAsia="仿宋" w:cs="仿宋"/>
          <w:kern w:val="0"/>
          <w:sz w:val="28"/>
          <w:szCs w:val="28"/>
        </w:rPr>
        <w:t xml:space="preserve">午餐订餐时间：当天8:40前  </w:t>
      </w:r>
    </w:p>
    <w:p>
      <w:pPr>
        <w:pStyle w:val="14"/>
        <w:numPr>
          <w:ilvl w:val="0"/>
          <w:numId w:val="5"/>
        </w:numPr>
        <w:tabs>
          <w:tab w:val="left" w:pos="2340"/>
        </w:tabs>
        <w:adjustRightInd w:val="0"/>
        <w:snapToGrid w:val="0"/>
        <w:spacing w:line="276" w:lineRule="auto"/>
        <w:rPr>
          <w:rFonts w:ascii="仿宋" w:hAnsi="仿宋" w:eastAsia="仿宋" w:cs="仿宋"/>
          <w:kern w:val="0"/>
          <w:sz w:val="28"/>
          <w:szCs w:val="28"/>
        </w:rPr>
      </w:pPr>
      <w:r>
        <w:rPr>
          <w:rFonts w:hint="eastAsia" w:ascii="仿宋" w:hAnsi="仿宋" w:eastAsia="仿宋" w:cs="仿宋"/>
          <w:kern w:val="0"/>
          <w:sz w:val="28"/>
          <w:szCs w:val="28"/>
        </w:rPr>
        <w:t>晚餐订餐时间：当天14:30前</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员工餐供餐（送达）时间：早餐7:00  午餐11:00  晚餐17:00</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手术餐供餐（送达）时间：午餐11:00  晚餐17:00</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工作餐、误时餐供餐（送达）时间：按订餐需求的时间</w:t>
      </w:r>
    </w:p>
    <w:p>
      <w:pPr>
        <w:pStyle w:val="14"/>
        <w:tabs>
          <w:tab w:val="left" w:pos="2340"/>
        </w:tabs>
        <w:adjustRightInd w:val="0"/>
        <w:snapToGrid w:val="0"/>
        <w:spacing w:line="276" w:lineRule="auto"/>
        <w:ind w:firstLine="562" w:firstLineChars="200"/>
        <w:rPr>
          <w:rFonts w:ascii="仿宋" w:hAnsi="仿宋" w:eastAsia="仿宋" w:cs="仿宋"/>
          <w:kern w:val="0"/>
          <w:sz w:val="28"/>
          <w:szCs w:val="28"/>
        </w:rPr>
      </w:pPr>
      <w:r>
        <w:rPr>
          <w:rFonts w:hint="eastAsia" w:ascii="仿宋" w:hAnsi="仿宋" w:eastAsia="仿宋" w:cs="仿宋"/>
          <w:b/>
          <w:kern w:val="0"/>
          <w:sz w:val="28"/>
          <w:szCs w:val="28"/>
        </w:rPr>
        <w:t>▲</w:t>
      </w:r>
      <w:r>
        <w:rPr>
          <w:rFonts w:hint="eastAsia" w:ascii="仿宋" w:hAnsi="仿宋" w:eastAsia="仿宋" w:cs="仿宋"/>
          <w:kern w:val="0"/>
          <w:sz w:val="28"/>
          <w:szCs w:val="28"/>
        </w:rPr>
        <w:t>1.2.病人餐、医嘱餐（配送至床位）</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（1）供餐范围：为医院提供住院病人早、中、晚（含医嘱餐）配餐、送餐服务。医嘱餐根据医嘱治疗膳食要求开具的营养餐单进行制作、登记与配送。</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（2）供餐人数（仅供参考）</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配置床位数1000张，前期拟开放床120张-200张，后随业务量的增长而逐步增加开放床位。</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（3）供餐时间（全年无休）</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订餐截止时间：</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①日常订餐时间：早餐：用餐前一天</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午餐：用餐当天9:40前  </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晚餐：用餐当天16:00前</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②超时餐订餐时间：午餐：11:20-12:00</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                   晚餐：16:00-17:30</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 3 \* GB3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③</w:t>
      </w:r>
      <w:r>
        <w:rPr>
          <w:rFonts w:hint="eastAsia" w:ascii="仿宋" w:hAnsi="仿宋" w:eastAsia="仿宋" w:cs="仿宋"/>
          <w:kern w:val="0"/>
          <w:sz w:val="28"/>
          <w:szCs w:val="28"/>
        </w:rPr>
        <w:fldChar w:fldCharType="end"/>
      </w:r>
      <w:r>
        <w:rPr>
          <w:rFonts w:hint="eastAsia" w:ascii="仿宋" w:hAnsi="仿宋" w:eastAsia="仿宋" w:cs="仿宋"/>
          <w:kern w:val="0"/>
          <w:sz w:val="28"/>
          <w:szCs w:val="28"/>
        </w:rPr>
        <w:t>日常供餐（送达）时间：早餐7:00-7:30 午餐：11:30-12:00  晚餐17:30-18:00</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fldChar w:fldCharType="begin"/>
      </w:r>
      <w:r>
        <w:rPr>
          <w:rFonts w:hint="eastAsia" w:ascii="仿宋" w:hAnsi="仿宋" w:eastAsia="仿宋" w:cs="仿宋"/>
          <w:kern w:val="0"/>
          <w:sz w:val="28"/>
          <w:szCs w:val="28"/>
        </w:rPr>
        <w:instrText xml:space="preserve"> = 4 \* GB3 </w:instrText>
      </w:r>
      <w:r>
        <w:rPr>
          <w:rFonts w:hint="eastAsia" w:ascii="仿宋" w:hAnsi="仿宋" w:eastAsia="仿宋" w:cs="仿宋"/>
          <w:kern w:val="0"/>
          <w:sz w:val="28"/>
          <w:szCs w:val="28"/>
        </w:rPr>
        <w:fldChar w:fldCharType="separate"/>
      </w:r>
      <w:r>
        <w:rPr>
          <w:rFonts w:hint="eastAsia" w:ascii="仿宋" w:hAnsi="仿宋" w:eastAsia="仿宋" w:cs="仿宋"/>
          <w:kern w:val="0"/>
          <w:sz w:val="28"/>
          <w:szCs w:val="28"/>
        </w:rPr>
        <w:t>④</w:t>
      </w:r>
      <w:r>
        <w:rPr>
          <w:rFonts w:hint="eastAsia" w:ascii="仿宋" w:hAnsi="仿宋" w:eastAsia="仿宋" w:cs="仿宋"/>
          <w:kern w:val="0"/>
          <w:sz w:val="28"/>
          <w:szCs w:val="28"/>
        </w:rPr>
        <w:fldChar w:fldCharType="end"/>
      </w:r>
      <w:r>
        <w:rPr>
          <w:rFonts w:hint="eastAsia" w:ascii="仿宋" w:hAnsi="仿宋" w:eastAsia="仿宋" w:cs="仿宋"/>
          <w:kern w:val="0"/>
          <w:sz w:val="28"/>
          <w:szCs w:val="28"/>
        </w:rPr>
        <w:t xml:space="preserve">超时餐供餐（送达）时间：午餐：12:30-13:00 </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晚餐：18:00-19:00</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1.3.供餐内容</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① 各式焖炒蒸炸类菜肴的制作（主要是粤菜、湘菜、川菜）；</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② 各式中西式点心的制作；</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③ 各式汤类、糖水、粥粉面、饺子、云吞、凉茶、清凉饮品等的制作；</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④ 各式接待餐的制作。</w:t>
      </w:r>
    </w:p>
    <w:p>
      <w:pPr>
        <w:pStyle w:val="14"/>
        <w:tabs>
          <w:tab w:val="left" w:pos="2340"/>
        </w:tabs>
        <w:adjustRightInd w:val="0"/>
        <w:snapToGrid w:val="0"/>
        <w:spacing w:line="276" w:lineRule="auto"/>
        <w:ind w:firstLine="562" w:firstLineChars="200"/>
        <w:rPr>
          <w:rFonts w:ascii="仿宋" w:hAnsi="仿宋" w:eastAsia="仿宋" w:cs="仿宋"/>
          <w:kern w:val="0"/>
          <w:sz w:val="28"/>
          <w:szCs w:val="28"/>
        </w:rPr>
      </w:pPr>
      <w:r>
        <w:rPr>
          <w:rFonts w:hint="eastAsia" w:ascii="仿宋" w:hAnsi="仿宋" w:eastAsia="仿宋" w:cs="仿宋"/>
          <w:b/>
          <w:kern w:val="0"/>
          <w:sz w:val="28"/>
          <w:szCs w:val="28"/>
        </w:rPr>
        <w:t>▲</w:t>
      </w:r>
      <w:r>
        <w:rPr>
          <w:rFonts w:hint="eastAsia" w:ascii="仿宋" w:hAnsi="仿宋" w:eastAsia="仿宋" w:cs="仿宋"/>
          <w:kern w:val="0"/>
          <w:sz w:val="28"/>
          <w:szCs w:val="28"/>
        </w:rPr>
        <w:t>1.4.供餐要求</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①精心搭配各式主、副食菜谱，每周1套菜单，逢周一上新菜单，原则上要求菜式应每2周不重样（除热门主菜外）；热门主菜经医院审核确认后，每周最多可出2次。下周菜单需在本周四前交医院职能部门审核，新菜式应先进行试做、试尝，待医院审核后方可执行。每月创新及推出新菜6款以上。</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② 点心餐、接待餐供餐等要求：精心搭配，出品色香味全。</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③供餐品种要求：</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工作日：早餐不少于24个品种，午餐不少于15个品种，晚餐不少于12个品种。</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节假日：早餐不少于12个品种，午餐不少于10个品种，晚餐不少于8个品种。</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（午餐和晚餐的菜式应不相同）</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1.5.膳食要求</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① 汤粉、面点、粥、煲仔饭、套餐、单个菜、老火汤/生滚汤、特色风味等,粥、粉、面、糕点、包类供应时间为早、午、晚餐、其他饭类、汤类供应时间为中、晚餐。</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②早、中、晚餐供应品种必须包括中西式面点、粥粉面类、粗粮等，营养搭配均衡，品种多样。</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③饭菜兼顾南北方特色口味（粤菜为主，川菜、湘菜等多种口味），品种要齐全，保证正餐有新鲜鱼、肉、禽、蛋、蔬菜等菜品供应。</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④制定的菜单须经医院职能部门审核同意，并根据医院实际要求补充或修改。饭菜样式要经常更新，每月推出6款以上新菜品。确保满足病人和职工的饮食需要。</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⑤菜式营养健康、花色品种多；大米符合标准，要求使用新米、晚稻、丝苗米；油用非转基因食用油；每个月更换一次餐单。</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⑥服务商须承诺所提供的熟食类食品均为自制食品，不准外购；必须对餐食有加热保温措施，保证售出餐食是温热的。不得直接使用预制菜，如确需使用须经医院审批同意。</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⑦</w:t>
      </w:r>
      <w:r>
        <w:rPr>
          <w:rFonts w:hint="eastAsia" w:ascii="仿宋" w:hAnsi="仿宋" w:eastAsia="仿宋" w:cs="仿宋"/>
          <w:sz w:val="28"/>
          <w:szCs w:val="28"/>
        </w:rPr>
        <w:t>提供具有相关资质的第三方机构检测合格的报告，抽检不同餐次的5个菜品，进行微生物检测。在本项目进场后半个月内提供一次以上检测报告，之后每三个月提供一次以上检测报告。</w:t>
      </w:r>
    </w:p>
    <w:p>
      <w:pPr>
        <w:pStyle w:val="14"/>
        <w:tabs>
          <w:tab w:val="left" w:pos="2340"/>
        </w:tabs>
        <w:adjustRightInd w:val="0"/>
        <w:snapToGrid w:val="0"/>
        <w:spacing w:line="276"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⑧积极响应和满足医院提出的其他膳食要求，满足医院的饮食服务需求。</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2、餐饮消费系统</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订餐系统使用金融城院区的订餐系统，需支付使用系统期间由此产生的费用。</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3、提供线上和线下订餐服务，饮食服务提供送餐及堂食服务。</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4、提供食堂包房餐饮服务。</w:t>
      </w:r>
    </w:p>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5、人员最低配置及要求（可根据新开业就餐量情况适时调整人员）</w:t>
      </w:r>
    </w:p>
    <w:p>
      <w:pPr>
        <w:pStyle w:val="14"/>
        <w:tabs>
          <w:tab w:val="left" w:pos="2340"/>
        </w:tabs>
        <w:adjustRightInd w:val="0"/>
        <w:snapToGrid w:val="0"/>
        <w:spacing w:line="276" w:lineRule="auto"/>
        <w:ind w:firstLine="3360" w:firstLineChars="1200"/>
        <w:jc w:val="left"/>
        <w:rPr>
          <w:rFonts w:ascii="仿宋_GB2312" w:hAnsi="宋体" w:eastAsia="仿宋_GB2312"/>
          <w:kern w:val="0"/>
          <w:sz w:val="28"/>
          <w:szCs w:val="28"/>
        </w:rPr>
      </w:pPr>
      <w:r>
        <w:rPr>
          <w:rFonts w:hint="eastAsia" w:ascii="仿宋_GB2312" w:hAnsi="宋体" w:eastAsia="仿宋_GB2312"/>
          <w:kern w:val="0"/>
          <w:sz w:val="28"/>
          <w:szCs w:val="28"/>
        </w:rPr>
        <w:t>人员配置表</w:t>
      </w:r>
    </w:p>
    <w:tbl>
      <w:tblPr>
        <w:tblStyle w:val="24"/>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843"/>
        <w:gridCol w:w="733"/>
        <w:gridCol w:w="5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序号</w:t>
            </w:r>
          </w:p>
        </w:tc>
        <w:tc>
          <w:tcPr>
            <w:tcW w:w="1843"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岗位</w:t>
            </w:r>
          </w:p>
        </w:tc>
        <w:tc>
          <w:tcPr>
            <w:tcW w:w="733"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人数</w:t>
            </w:r>
          </w:p>
        </w:tc>
        <w:tc>
          <w:tcPr>
            <w:tcW w:w="5268"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岗位职责及工作要求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w:t>
            </w:r>
          </w:p>
        </w:tc>
        <w:tc>
          <w:tcPr>
            <w:tcW w:w="1843" w:type="dxa"/>
            <w:vAlign w:val="center"/>
          </w:tcPr>
          <w:p>
            <w:pPr>
              <w:widowControl w:val="0"/>
              <w:jc w:val="center"/>
              <w:rPr>
                <w:rFonts w:ascii="仿宋_GB2312" w:hAnsi="宋体" w:eastAsia="仿宋_GB2312" w:cs="Courier New"/>
                <w:szCs w:val="21"/>
              </w:rPr>
            </w:pPr>
            <w:r>
              <w:rPr>
                <w:rFonts w:hint="eastAsia" w:ascii="仿宋_GB2312" w:hAnsi="宋体" w:eastAsia="仿宋_GB2312" w:cs="Courier New"/>
                <w:szCs w:val="21"/>
              </w:rPr>
              <w:t>项目经理</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全面负责食堂项目运行管理。工作日常驻项目点，根据甲方需求协助甲方开展工作，全面完成合同内容与甲方要求，负责项目安全、卫生等。工作内容包括但不限于：①月度汇报工作完成情况、工作计划、工作难点等；②负责甲方与乙方单位事项的沟通协调；③食堂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2</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行政总厨</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sz w:val="28"/>
                <w:szCs w:val="28"/>
              </w:rPr>
            </w:pPr>
            <w:r>
              <w:rPr>
                <w:rFonts w:hint="eastAsia" w:ascii="仿宋_GB2312" w:hAnsi="宋体" w:eastAsia="仿宋_GB2312"/>
              </w:rPr>
              <w:t>负责厨房的统筹管理，食堂菜单的初步制定、员工餐厅及接待餐膳食的制作、食材及相关配料的验收、食材需求的初步统计、食材等成本的控制等工作，包括但不限于：①拟定员工餐厅及接待餐菜单。②食材需求的初步统计。③食材及相关配料的验收。④食材等成本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3</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楼面经理</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负责楼面工作的统筹安排，服务管理及顾客就餐沟通工作，包括餐前准备、餐中跟进、餐后协调检查，主动和顾客沟通，收集解决就餐顾客的意见反馈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4</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食品安全员</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负责整个项目的食品安全管控，定期检查项目的食品安全风险，对现场员工进行食品安全、消防安全、操作安全等培训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5</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财务助理</w:t>
            </w:r>
          </w:p>
        </w:tc>
        <w:tc>
          <w:tcPr>
            <w:tcW w:w="73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w:t>
            </w: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负责食堂的台账、报表、食材出入库等数据的整理以及每日食材的验收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6</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厨师</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负责食堂菜品的烹饪制作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7</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特色厨师</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负责现场特色窗口的菜品规划制作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8</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面点厨师</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负责现场面档窗口的菜品规划制作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9</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助厨</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协助厨师进行菜品的烹饪制作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10</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点心师</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负责现场早餐出品的规划烹饪制作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11</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切配主管</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统筹切配组工作安排，负责与厨师对接切配要求及工作安排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17"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12</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切配</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负责厨房食材的清洗切配等工作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13</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上什</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负责米饭、汤品、蒸菜的制作烹饪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14</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服务员</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负责餐线餐前准备、餐中分餐及餐后卫生清洁工作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15</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配送主管</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负责统筹现场所有配送组的工作安排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16</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打包配送员</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负责职工科室及病人病床的餐食配送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17</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清洁洗消员</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负责餐厅现场卫生清洁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18</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分店助理</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负责协助项目经理的工作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19</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订单统计员</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负责职工餐、病人餐的订单数量、分单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20</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充值员</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负责饭卡充值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21</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职厨、病厨厨师长</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负责职工餐、病人餐的统筹管理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17"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22</w:t>
            </w:r>
          </w:p>
        </w:tc>
        <w:tc>
          <w:tcPr>
            <w:tcW w:w="1843"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治疗膳食餐厨师</w:t>
            </w:r>
          </w:p>
        </w:tc>
        <w:tc>
          <w:tcPr>
            <w:tcW w:w="733" w:type="dxa"/>
            <w:vAlign w:val="center"/>
          </w:tcPr>
          <w:p>
            <w:pPr>
              <w:pStyle w:val="14"/>
              <w:tabs>
                <w:tab w:val="left" w:pos="2340"/>
              </w:tabs>
              <w:adjustRightInd w:val="0"/>
              <w:snapToGrid w:val="0"/>
              <w:jc w:val="center"/>
              <w:rPr>
                <w:rFonts w:ascii="仿宋_GB2312" w:hAnsi="宋体" w:eastAsia="仿宋_GB2312"/>
              </w:rPr>
            </w:pPr>
          </w:p>
        </w:tc>
        <w:tc>
          <w:tcPr>
            <w:tcW w:w="526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负责膳食餐的烹饪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17" w:type="dxa"/>
            <w:tcBorders>
              <w:bottom w:val="single" w:color="auto" w:sz="4" w:space="0"/>
            </w:tcBorders>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23</w:t>
            </w:r>
          </w:p>
        </w:tc>
        <w:tc>
          <w:tcPr>
            <w:tcW w:w="1843" w:type="dxa"/>
            <w:tcBorders>
              <w:bottom w:val="single" w:color="auto" w:sz="4" w:space="0"/>
            </w:tcBorders>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厨工</w:t>
            </w:r>
          </w:p>
        </w:tc>
        <w:tc>
          <w:tcPr>
            <w:tcW w:w="733" w:type="dxa"/>
            <w:tcBorders>
              <w:bottom w:val="single" w:color="auto" w:sz="4" w:space="0"/>
            </w:tcBorders>
            <w:vAlign w:val="center"/>
          </w:tcPr>
          <w:p>
            <w:pPr>
              <w:pStyle w:val="14"/>
              <w:tabs>
                <w:tab w:val="left" w:pos="2340"/>
              </w:tabs>
              <w:adjustRightInd w:val="0"/>
              <w:snapToGrid w:val="0"/>
              <w:jc w:val="center"/>
              <w:rPr>
                <w:rFonts w:ascii="仿宋_GB2312" w:hAnsi="宋体" w:eastAsia="仿宋_GB2312"/>
              </w:rPr>
            </w:pPr>
          </w:p>
        </w:tc>
        <w:tc>
          <w:tcPr>
            <w:tcW w:w="5268" w:type="dxa"/>
            <w:tcBorders>
              <w:bottom w:val="single" w:color="auto" w:sz="4" w:space="0"/>
            </w:tcBorders>
          </w:tcPr>
          <w:p>
            <w:pPr>
              <w:pStyle w:val="14"/>
              <w:tabs>
                <w:tab w:val="left" w:pos="2340"/>
              </w:tabs>
              <w:adjustRightInd w:val="0"/>
              <w:snapToGrid w:val="0"/>
              <w:rPr>
                <w:rFonts w:ascii="仿宋_GB2312" w:hAnsi="宋体" w:eastAsia="仿宋_GB2312"/>
              </w:rPr>
            </w:pPr>
            <w:r>
              <w:rPr>
                <w:rFonts w:hint="eastAsia" w:ascii="仿宋_GB2312" w:hAnsi="宋体" w:eastAsia="仿宋_GB2312"/>
              </w:rPr>
              <w:t>负责厨房的切配、烹饪工作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2660" w:type="dxa"/>
            <w:gridSpan w:val="2"/>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合计</w:t>
            </w:r>
          </w:p>
        </w:tc>
        <w:tc>
          <w:tcPr>
            <w:tcW w:w="6001" w:type="dxa"/>
            <w:gridSpan w:val="2"/>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2660" w:type="dxa"/>
            <w:gridSpan w:val="2"/>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备注</w:t>
            </w:r>
          </w:p>
        </w:tc>
        <w:tc>
          <w:tcPr>
            <w:tcW w:w="6001" w:type="dxa"/>
            <w:gridSpan w:val="2"/>
          </w:tcPr>
          <w:p>
            <w:pPr>
              <w:pStyle w:val="14"/>
              <w:tabs>
                <w:tab w:val="left" w:pos="2340"/>
              </w:tabs>
              <w:adjustRightInd w:val="0"/>
              <w:snapToGrid w:val="0"/>
              <w:jc w:val="left"/>
              <w:rPr>
                <w:rFonts w:ascii="仿宋_GB2312" w:hAnsi="宋体" w:eastAsia="仿宋_GB2312"/>
              </w:rPr>
            </w:pPr>
            <w:r>
              <w:rPr>
                <w:rFonts w:hint="eastAsia" w:ascii="仿宋_GB2312" w:hAnsi="宋体" w:eastAsia="仿宋_GB2312"/>
              </w:rPr>
              <w:t>可根据工作量增加人员数</w:t>
            </w:r>
          </w:p>
        </w:tc>
      </w:tr>
    </w:tbl>
    <w:p>
      <w:pPr>
        <w:pStyle w:val="14"/>
        <w:tabs>
          <w:tab w:val="left" w:pos="2340"/>
        </w:tabs>
        <w:adjustRightInd w:val="0"/>
        <w:snapToGrid w:val="0"/>
        <w:spacing w:line="276" w:lineRule="auto"/>
        <w:ind w:firstLine="560" w:firstLineChars="200"/>
        <w:rPr>
          <w:rFonts w:ascii="仿宋" w:hAnsi="仿宋" w:eastAsia="仿宋" w:cs="仿宋"/>
          <w:kern w:val="0"/>
          <w:sz w:val="28"/>
          <w:szCs w:val="28"/>
        </w:rPr>
      </w:pP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6、项目经理1名、行政总厨1名、楼面经理1名、面点厨师1名、食品安全管理员1名为管理团队人员，管理团队应全职驻点服务，工作天数不少于法定工作天数，不得同时兼任本项目外的管理。</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7、上述管理团队（项目经理、行政总厨、面点厨师等）需通过甲方职能部门面试后方能录用。如乙方需调整驻场管理层，需提前2个月书面通知甲方，甲方同意后方可更换。甲方有权对不满意的管理层提出人员调配或更换要求，乙方在收到书面通知2个月内调配或更换或补充人员。</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8、行政总厨要求持有二级或以上中式烹调师职业技能等级证书（或国家职业资格证书），面点厨师须持有三级或以上技师中式/西式面点师证，食品安全员须持有高级食品安全管理员证书（或高级食品安全管理员考试合格证）。</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9、所有驻场服务人员必须具有初中以上学历，男60岁以下，女55岁以下，不得违规使用年龄不满18岁的童工。</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10、乙方的所有驻场服务人员需配备统一的服饰。</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11、应按相关食品加工操作要求，在需要时戴清洁帽、口罩、手套、穿防滑水鞋/胶鞋上岗并保持干净整洁，食品加工人员不得佩戴任何首饰。</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12、乙方的所有驻场服务人员必须持有有效的餐饮人员健康证，餐品配送人员应熟知甲方各楼层各科室的分布。病人配餐员要求形象好、能熟练运用服务用语，能听懂粤语。</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13、甲方有权对不履行合同或多次违反甲方管理规定的乙方人员提出警告和拒绝使用，乙方必须按甲方的要求更换有关人员。</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14、在服务期内，乙方须承担项目工作人员的意外责任和工伤责任险和所有服务风险。</w:t>
      </w:r>
    </w:p>
    <w:p>
      <w:pPr>
        <w:pStyle w:val="14"/>
        <w:tabs>
          <w:tab w:val="left" w:pos="2340"/>
        </w:tabs>
        <w:adjustRightInd w:val="0"/>
        <w:snapToGrid w:val="0"/>
        <w:spacing w:line="276" w:lineRule="auto"/>
        <w:ind w:firstLine="560" w:firstLineChars="200"/>
        <w:jc w:val="left"/>
        <w:rPr>
          <w:rFonts w:ascii="仿宋" w:hAnsi="仿宋" w:eastAsia="仿宋"/>
          <w:kern w:val="0"/>
          <w:sz w:val="28"/>
          <w:szCs w:val="28"/>
        </w:rPr>
      </w:pPr>
      <w:r>
        <w:rPr>
          <w:rFonts w:hint="eastAsia" w:ascii="仿宋" w:hAnsi="仿宋" w:eastAsia="仿宋"/>
          <w:kern w:val="0"/>
          <w:sz w:val="28"/>
          <w:szCs w:val="28"/>
        </w:rPr>
        <w:t>15、乙方必须要求所有派驻场人员服从甲方的管理，严格执行甲方的规章制度及工作内容，并无条件接受并配合甲方对服务工作的监督和检查。</w:t>
      </w:r>
    </w:p>
    <w:p>
      <w:pPr>
        <w:adjustRightInd w:val="0"/>
        <w:snapToGrid w:val="0"/>
        <w:spacing w:line="276" w:lineRule="auto"/>
        <w:ind w:left="2" w:firstLine="534" w:firstLineChars="190"/>
        <w:rPr>
          <w:rFonts w:ascii="仿宋" w:hAnsi="仿宋" w:eastAsia="仿宋" w:cs="仿宋"/>
          <w:b/>
          <w:sz w:val="28"/>
          <w:szCs w:val="28"/>
        </w:rPr>
      </w:pPr>
      <w:r>
        <w:rPr>
          <w:rFonts w:hint="eastAsia" w:ascii="仿宋" w:hAnsi="仿宋" w:eastAsia="仿宋" w:cs="仿宋"/>
          <w:b/>
          <w:sz w:val="28"/>
          <w:szCs w:val="28"/>
        </w:rPr>
        <w:t>四、食品安全与质量管理要求</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一）食品原料要求：服务商所采购粮油、肉蛋类、禽类、鱼类、蔬菜类、副食品类、调味类、食品添加剂等原料和物品必须符合《中华人民共和国食品安全法》、《中华人民共和国动物防疫法》、《食品安全国家标准餐饮服务通用卫生规范》（GB31654-2021）、《餐饮服务食品安全操作规范》等相关规定，符合卫生标准和营养要求。</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二）不得使用腐烂、变质、过期、有异物食品，食品原料索证索票齐全，符合食品卫生安全。应尽量采用新鲜食材，并尽量缩短食材存放期。当发现饭菜质量有变质或异常情况，要求5分钟内响应，处理或更换时间在15分钟内。</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（三）食品供应渠道的溯源</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1、所有的食品、副食品及配料等必须由正规渠道购进，确保食材安全、无农药、无添加、确保最佳产地、确保非转基因。</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服务商餐饮外包服务设有专职采购员,每次采购，严格做好进货验收和索票索证工作，建立采购台账（必须专人规范填写）、索证验收台账、供应商资质证明台账等，索取供应商有效的资质、检验检测合格证明等文件，包括但不仅限于《营业执照》、《食品经营许可证》、《产品质量检验报告》、《出厂检验报告》、《动物检疫合格证明》、《肉品品质检验合格证》、《送货清单》、《购货凭据》；酒类、罐头、饮料、乳制品、调味品等食品，每批次的检验合格证或检验单；蔬菜等散装农副食品及鱼类等鲜活产品检验合格证明；一次性餐具检验合格证；清洁剂检验合格证明等。随时接受医院及上级部门的检查。</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3、从食品原材料入手，建立食品安全追溯体系。所有肉类、蔬菜类、粮油类等由具备供应资格、信誉良好的供应商提供可追溯食品，不能采用散装原料，实行集中统一采购或分大类集中采购，采用无公害食品。</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4、从食品原料开始，到食品加工、物流、销售，每个环节严格把关，全程透明化、数据化、可追溯；做到每一批原材料和产品都有检验报告，都经过严格的风险管控，要有严格的质量保证措施。有稳定的原材料采购、供应途径。</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5、设置食品安全信息公示栏，公示食品安全信息，员工健康信息、经营主体责任人、监管部门责任人及电话、微信服务满意度调查或意见箱等，接受员工监督。</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6、为保障本项目能保质保量完成，服务商要充分考虑成本、收益以及可能出现的重大市场风险，须在投标文件中列明本项目食材成本控制占比比例并承诺中标后服务期内照此执行（提供承诺函）。</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（四）保证每天每餐的饮食质量、份量、菜式，做到食材新鲜、饭熟菜香，营养搭配科学合理，调配比例均匀，味道可口，保证营养。原则上当天所有餐次的出品应是当次制作，保证新鲜，保证口感。</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五）设专门人员负责留样，每餐每个供应食品种类应按相关规定的份量、时间、保存条件、操作规范等做好留样工作。至少保存48小时，留样份量每样至少150克，在5℃以下冷藏专柜专放并按要求做好食品留样管理工作等，具体根据相关规定实施。</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（六）所有食品供应商须接受医院监管，对服务、供货质量等不能达到医院要求的供应商，医院有权提出更换，服务商必须配合执行。</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（七）部分重点食品采购要求如下：</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1、大米、面粉质量标准：</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①大米：禁止采购有“QS”标志，须采购具有新食品生产许可证编号的产品。标明加工厂名称、品名、生产日期、保质期或保存期，供货时的剩余保质期不少于三分之二，质量等级、产品标准号、产品合格证，质量符合大米国家标准与国家粮食卫生标准。</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②面粉：具有固有色泽和香味，无污染、无虫害，色泽、气味、口味正常，无异味或霉味（霉变），无虫蛀结块挂丝或杂质异物等。面粉类要新鲜、色泽呈现乳白色或微黄色、手感细腻、颗粒均匀，自然浓厚的麦香味，手抓后自然流出，松开手不成团，用它制成的成品和馒头有麦香味、香甜入口不粘牙，符合国家食品卫生标准。</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2、食用油、酱油：</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①禁止采购有“QS”标志，须采购具有新食品许可证编号的产品。外包装完好，标明品名、厂名、重量、生产日期、保质期或保存期、执行标准等，剩余保质期不少于三分之二，具有产品合格证。须采购符合国家标准的品牌产品，不得混有其他食用油或非食用油，禁止采购调和油、特殊气味油类。</w:t>
      </w:r>
    </w:p>
    <w:p>
      <w:pPr>
        <w:spacing w:line="276" w:lineRule="auto"/>
        <w:ind w:firstLine="420" w:firstLineChars="150"/>
        <w:rPr>
          <w:rFonts w:ascii="仿宋" w:hAnsi="仿宋" w:eastAsia="仿宋" w:cs="仿宋"/>
          <w:sz w:val="28"/>
          <w:szCs w:val="28"/>
        </w:rPr>
      </w:pPr>
      <w:r>
        <w:rPr>
          <w:rFonts w:hint="eastAsia" w:ascii="仿宋" w:hAnsi="仿宋" w:eastAsia="仿宋" w:cs="仿宋"/>
          <w:sz w:val="28"/>
          <w:szCs w:val="28"/>
        </w:rPr>
        <w:t>②调味料：鸡精、鸡粉等建议不用或尽量少用，须采购符合国家标准的品牌产品。禁止使用糖精等。</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3、食盐：符合食品安全卫生标准及营养要求。</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4、肉类：生鲜肉类经过屠宰卫生检疫，符合国家相关标准，肉类保证来源于正规肉联厂，供货时提交肉联厂的验收单及当批次有效的动物检疫合格证复印件（原件备查）和分割肉凭证，鲜肉确保每日新鲜、无异味、变质。肉色根据种类的不同而呈现其特有的颜色，如猪肉鲜红色、牛羊肉深红色、鸡肉淡红色、鸭肉深红色等，且都有光泽、富有弹性，闻起来没有异味者。肉制品包装完整，有完整标识，标明品名、内容物名称，重量或数量、食品添加物、制造厂商名称、地址、保存期限或保存条件、进品的还应加注进品商名称、地址等信息。保证鱼肉类每天新鲜购入及配送。</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5、添加剂：必须符合GB2760的要求，添加剂的使用量必须符合GB2760要求，不得随意使用非食品添加剂。</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6、承诺中标后，每三个月提供一次以下品类食品原材料（大米、食用油、果蔬类、肉类、禽类、水产品类、调味品类、奶制品类共八大类）经第三方国家认证认可监督管理部门批准设立的机构出具的检验合格报告。</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7、蔬菜：蔬菜形态饱满、色泽新鲜、无腐烂变质、无泥沙、无老梗、无老叶及无农药超标等情况。</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8、干货：保持其固有的鲜美味道，有干货的本味。动物类、植物类、菌类、藻类，能从味觉上分辨新鲜及优品；干爽没有霉迹；色泽鲜明，没有虫蛀与杂质。</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9、限制采用熟食、冰冻肉、火腿肠、腊味、咸鱼等不利健康的深加工食品，肉类除排骨允许使用优质冰冻肉外，其他全部使用生鲜肉。</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10、所有熟食产品（包括烧味熟食）须自行调制，不得从其他供应商处购买。</w:t>
      </w:r>
    </w:p>
    <w:p>
      <w:pPr>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11、蔬菜类检测标准</w:t>
      </w:r>
    </w:p>
    <w:p>
      <w:pPr>
        <w:pStyle w:val="2"/>
        <w:ind w:firstLine="400"/>
      </w:pPr>
    </w:p>
    <w:tbl>
      <w:tblPr>
        <w:tblStyle w:val="23"/>
        <w:tblW w:w="7447"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681"/>
        <w:gridCol w:w="376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8"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项目</w:t>
            </w:r>
          </w:p>
        </w:tc>
        <w:tc>
          <w:tcPr>
            <w:tcW w:w="3766" w:type="dxa"/>
            <w:tcBorders>
              <w:top w:val="single" w:color="000000" w:sz="8"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指标</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甲胺磷</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不得检出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甲拌磷</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不得检出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氧化乐果</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不得检出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甲基对硫磷</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不得检出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呋喃丹</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不得检出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百菌清</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≤1.0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多菌灵</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≤0.5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汞（以Hg计）</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≤0.01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铅（以Bb计）</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≤0.2</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砷（以As计）</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≤0.5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氟（以F计）</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≤0.5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硝酸盐（以NaNO2计）</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瓜果类≤600，叶菜根茎类≤1200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681" w:type="dxa"/>
            <w:tcBorders>
              <w:top w:val="single" w:color="000000" w:sz="4" w:space="0"/>
              <w:left w:val="single" w:color="000000" w:sz="8" w:space="0"/>
              <w:bottom w:val="single" w:color="000000" w:sz="4" w:space="0"/>
              <w:right w:val="single" w:color="000000" w:sz="4"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亚硝酸盐（以NaNO2计）</w:t>
            </w:r>
          </w:p>
        </w:tc>
        <w:tc>
          <w:tcPr>
            <w:tcW w:w="3766" w:type="dxa"/>
            <w:tcBorders>
              <w:top w:val="single" w:color="000000" w:sz="4" w:space="0"/>
              <w:left w:val="single" w:color="000000" w:sz="4" w:space="0"/>
              <w:bottom w:val="single" w:color="000000" w:sz="4"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≤4</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47" w:type="dxa"/>
            <w:gridSpan w:val="2"/>
            <w:tcBorders>
              <w:top w:val="single" w:color="000000" w:sz="4" w:space="0"/>
              <w:left w:val="single" w:color="000000" w:sz="8" w:space="0"/>
              <w:bottom w:val="single" w:color="000000" w:sz="8" w:space="0"/>
              <w:right w:val="single" w:color="000000" w:sz="8" w:space="0"/>
            </w:tcBorders>
          </w:tcPr>
          <w:p>
            <w:pPr>
              <w:adjustRightInd w:val="0"/>
              <w:snapToGrid w:val="0"/>
              <w:spacing w:line="276" w:lineRule="auto"/>
              <w:ind w:left="2" w:firstLine="380" w:firstLineChars="190"/>
              <w:rPr>
                <w:rFonts w:ascii="仿宋" w:hAnsi="仿宋" w:eastAsia="仿宋" w:cs="仿宋"/>
                <w:szCs w:val="21"/>
              </w:rPr>
            </w:pPr>
            <w:r>
              <w:rPr>
                <w:rFonts w:hint="eastAsia" w:ascii="仿宋" w:hAnsi="仿宋" w:eastAsia="仿宋" w:cs="仿宋"/>
                <w:szCs w:val="21"/>
              </w:rPr>
              <w:t>国家规定其他必检项目必须符合国家标准</w:t>
            </w:r>
          </w:p>
        </w:tc>
      </w:tr>
    </w:tbl>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（八）食品加工要求：</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1、洗：按各类食品的清洗要求进行清洗，保证干净卫生，无异物和杂质。</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2、切：根据原料性质、菜品要求将原料切出规则的形状并且要均匀一致。</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3、配：根据菜品的要求及各种原料的性质在形状、颜色、营养、口感方面做好原料的搭配。</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4、烹饪：食品既要煮熟煮透，又要体现出食品原料的本身颜色，以自然色和接近自然色为主。严禁使用色素及任何食品添加剂等。</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①菜品应不糊、不夹生，软硬适当。色香味俱全，原料新鲜，无过生过熟、无异物，要求菜品体现原汁原味。尤其是海鲜菜肴，口味避免过重（如过咸、过辣、过酸、过甜、过苦更不允许有异味腥、膻、臭味等），不能用调料、大料的味道压住食材本身的味道。</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②清炒菜必须保证即熟亦脆，色要青绿、口感脆爽，不能炒过，八成煎即可，靠少量复合油（葱姜油、花椒油、麻油）来体现味道，芡汁要薄要少要均匀、要包住、要有亮度，杜绝青菜出水现象发生。白灼菜口味鲜咸，白灼汁不能太多，浇油要热要少，菜品要整齐美观。上汤菜口味要清鲜、汤汁乳白，原料要2/3浸入汤中，不能出现浮油现象。</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③肉类的菜口味要香而不腻，口感要富有弹性。严禁使用亚硝酸钠等化学原料。严格控制松肉粉、食粉的用量。</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④炸类的菜品要酥，要金黄色，油不能大，不能腻。个别外焦里嫩的菜要保持好原料的水分和鲜嫩度。已使用过的炸油不能再次用于油炸食物，油炸不能使用隔夜油。</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⑤海鲜类必须新鲜，口味清淡，料味不能浓，保持原汁原味，不能老、咬不动、不能腥。</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⑥汤菜的要求：汤菜盛入盛器中不能太满，以8分满或8分半满为宜；汤菜原料和汤的比例，根据菜的性质不同，比例也不同，但是原料的比例不能超过汤的比例；汤菜品：以鲜为主，入口首先体现鲜味而后要体现咸味或其他口味，必须体现原汁原味，不能过油，要靠汤汁熬出的鲜香味和相关辅料来体现。</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5、打包/装盘要求：确保食品不外露，打包餐具外没油渍汤渍，干净卫生。盘饰点缀要精致，简单、新鲜、要配合好菜肴的特点，点缀原料要丰富。</w:t>
      </w:r>
    </w:p>
    <w:p>
      <w:pPr>
        <w:adjustRightInd w:val="0"/>
        <w:snapToGrid w:val="0"/>
        <w:spacing w:line="276" w:lineRule="auto"/>
        <w:ind w:firstLine="562" w:firstLineChars="200"/>
        <w:rPr>
          <w:rFonts w:ascii="仿宋" w:hAnsi="仿宋" w:eastAsia="仿宋" w:cs="仿宋"/>
          <w:b/>
          <w:sz w:val="28"/>
          <w:szCs w:val="28"/>
        </w:rPr>
      </w:pPr>
      <w:r>
        <w:rPr>
          <w:rFonts w:hint="eastAsia" w:ascii="仿宋" w:hAnsi="仿宋" w:eastAsia="仿宋" w:cs="仿宋"/>
          <w:b/>
          <w:sz w:val="28"/>
          <w:szCs w:val="28"/>
        </w:rPr>
        <w:t>五、管理目标要求</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1、每年配合医院完成指定的扶贫农副产品采购指标。</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 xml:space="preserve"> 2、①负责食堂的升级优化，在食堂现状下（设备设施、功能区间布局等）包括但不限于食堂内部环境优化、设备设施等投入，服务商需制定详细的食堂升级优化方案；②优化期内保证医院的正常的餐饮服务，服务商须针对食堂升级优化方案制定优化期间的供餐保障方案，须充分考虑保障供餐的重点难点，明确可能出现的因优化影响供餐的因素（例如设备设施更换、停水、停电、噪音）以及对应的解决措施。</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3、服务商所安排到医院餐饮服务工作的员工必须与服务商签订《劳动合同》，服务商的员工一切劳动保险及其它福利待遇由服务商承担费用和自行办理。不得因与员工的劳动纠纷影响向医院提供正常服务，如造成食堂无法按时、足量供应餐食的，医院有权终止合同，并追究中标人的违约责任。</w:t>
      </w:r>
    </w:p>
    <w:p>
      <w:pPr>
        <w:adjustRightInd w:val="0"/>
        <w:snapToGrid w:val="0"/>
        <w:spacing w:line="276" w:lineRule="auto"/>
        <w:ind w:left="2" w:firstLine="532" w:firstLineChars="190"/>
        <w:rPr>
          <w:rFonts w:ascii="仿宋" w:hAnsi="仿宋" w:eastAsia="仿宋" w:cs="仿宋"/>
          <w:sz w:val="28"/>
          <w:szCs w:val="28"/>
        </w:rPr>
      </w:pPr>
      <w:bookmarkStart w:id="0" w:name="_GoBack"/>
      <w:bookmarkEnd w:id="0"/>
      <w:r>
        <w:rPr>
          <w:rFonts w:hint="eastAsia" w:ascii="仿宋" w:hAnsi="仿宋" w:eastAsia="仿宋" w:cs="仿宋"/>
          <w:sz w:val="28"/>
          <w:szCs w:val="28"/>
        </w:rPr>
        <w:t>4、日常餐饮服务运作过程中产生的水费、电费、燃气费、垃圾费、网络费、通讯费等所有费用纳入食堂运营管理成本。</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 xml:space="preserve"> 5、服务商必须按照《中华人民共和国食品安全法》、《食品生产许可管理办法》、《餐饮服务食品安全操作规范》、《餐饮服务食品采购索证索票管理规定》、《食品添加剂新品种管理办法》等相关法律、法规、制度及政策，通过规范的管理流程和严格的内部监察机制来确保高标准的食品卫生安全。</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6、服务商必须通过有效的服务提高医院餐饮的服务质量，达到并维持较高的满意度。应有具体的满意度跟进措施以及定期反馈与改进措施。</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7、服务商必须通过完善的管理体制和专业的人员，减少医院管理层在餐饮方面的精力投入。</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8、服务商必须知晓医院为医疗行业的特殊性，服从医院的制定的管理规定。</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9、服务商出品质量以及食材采购质量和验收标准参照招标文件中的具体要求。</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10、原则上当天所有餐次的出品应是当次制作，保证新鲜，保证口感，因制作工艺所需的个别菜品经医院审批同意后可放宽至提前1天制作（未售完但保存完好并加热后能正常食用的个别菜品仅可再售卖1次）。除个别菜品的特殊需求外，应采用新鲜食材，并尽量减少使用冷冻品。</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11、服务商全部员工要按行业标准进行专业素质培训，以优质的服务进行规范化管理，做到形象良好、礼貌待客、微笑服务，并做好服务跟踪，为每一位职工和病患提供良好的就餐体验。</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12、确保医院每餐的正常膳食供应，并根据需要提供网络订餐及送餐服务，对医院提出的接待餐、会议供餐、过时餐等无条件服从，并按时、按质完成，保证饭热菜香。</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13、服务商须严格执行国家食品安全法以及食品加工、销售、饮食卫生“五四制”和有关部门对餐饮业的有关规定，合理守法地开展服务。服务期间，确保无事故发生，服务商因服务期间管理不当发生食物安全问题或中毒、因人为或其他因素引发的事故及所造成的人员伤亡、财产损失等，其经济责任、法律责任全部由服务商承担，视情况严重程度，医院有权终止合同，且对医院造成财产或声誉损害的，服务商应承担赔偿责任。</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14、服务商在清洁餐具时，必须保证餐具干净卫生，医院不定期监督检查。</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15、服务商要加强食品卫生，食品质量的管理，确保食品质量，所有原材料与制成品必须符合食品卫生检疫标准。同时，必须接受市场监督管理局、消防部门等各级单位的卫生及消防监督检查，并按检查结果进行整改。</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16、服务商进场前需提供以下详细的资料：接场计划书、个人卫生标准、环境卫生标准、各岗位工作安排表、各岗位职责、各岗位作业指导书、关键岗位考核表、应急预案（包括食物中毒应急预案、紧急供餐应急预案等），具体要求为：</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（1）服务商需针对可能出现的食物中毒或其他食源性疾患事故，结合医院的实际情况提供详细可行的应对方案。</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（2）应设立应急工作小组并明确人员的组织架构；</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（3）对于临时退货、补货、加工时停水（停电）应急处理等应急情况要有对应的应急措施保障食材的正常供应。</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（4）如遇医院有食材紧急配送的需求，服务商需结合医院的实际情况制定可行性强的紧急配送方案，确保及时供货。</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17、服务商负责对食堂进行环境布置，所产生的费用由服务商支出，包括用餐宣传的布置、节日氛围的烘托布置等。</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18、服务商应保证采用符合《中华人民共和国食品安全法》及相关餐饮行业的相关规定的食材制作餐食，应尽量采用新鲜食材，少用冷冻品。医院有权不定期到厨房巡查，并有权查阅制作食材来源资料及相关进货凭证。</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19、服务商应保证出品质量，菜单每周变动并提前向医院沟通和报备。菜式搭配绿色健康，需提供重口味、淡口味、蒸菜、蒸蛋、辣菜、炒菜等供选择，病人餐每餐均需提供流质、半流质、糖尿病饮食（低糖/无糖）、无盐餐、无碘盐餐、高蛋白质餐等特殊餐饮需求服务（特殊餐饮服务根据医院临床患者的需求变动而变动）。</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20、服务商应配备足够的资源以保证准时送餐，病人餐均需配送至病床前，职工餐需送到科室。</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21、服务商应保证餐饮的配送规范应符合《中华人民共和国食品安全法》及相关餐饮行业的相关规定。应使用专用的保温设备运输，并保证送达时食品的表面温度不低于40℃。运输与配送期间应做足有效措施的预防食物受污物或环境的污染。</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22、如食用由服务商配送的造成腹泻、过敏、食物中毒等食品安全事故，所有的法律责任和经济损失由服务商全部负责。若由于饮食安全问题导致医院牵连受损，医院有权要求服务商进行相应的赔偿。</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23、服务商在服务期内，由于原材料、烹调过程中引发的食品安全、消防、人员伤亡等大小事故，应承担全部责任及费用,服务商需与医院签订《消防安全责任书》。</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24、服务商须严格执行国家食品安全法以及食品加工、销售、饮食卫生“五四制”和有关部门对餐饮业的有关规定，合理守法地开展服务。服务期间，确保无事故发生，如因服务商原因造成医院的人员食物中毒、火灾等事故发生，所有的法律责任和经济损失由服务商全部负责。</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25、服务商需每月对员工进行至少1次的培训，并有书面培训资料及培训记录。服务商每年对驻场管理团队（项目经理、行政总厨、楼面经理、面点厨师、食品安全员）进行4次以上岗位相关工作培训，并提交培训记录及公司确认等相关资料。</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bCs/>
          <w:sz w:val="28"/>
          <w:szCs w:val="28"/>
        </w:rPr>
        <w:t>26、服务商</w:t>
      </w:r>
      <w:r>
        <w:rPr>
          <w:rFonts w:hint="eastAsia" w:ascii="仿宋" w:hAnsi="仿宋" w:eastAsia="仿宋" w:cs="仿宋"/>
          <w:sz w:val="28"/>
          <w:szCs w:val="28"/>
        </w:rPr>
        <w:t>应配合医院落实上级有关部门的要求，包括但不限于日常安全监督检查、现场检查、数据上报等工作。</w:t>
      </w:r>
    </w:p>
    <w:p>
      <w:pPr>
        <w:pStyle w:val="14"/>
        <w:adjustRightInd w:val="0"/>
        <w:snapToGrid w:val="0"/>
        <w:spacing w:line="276" w:lineRule="auto"/>
        <w:ind w:firstLine="560" w:firstLineChars="200"/>
        <w:rPr>
          <w:rFonts w:ascii="仿宋" w:hAnsi="仿宋" w:eastAsia="仿宋" w:cs="仿宋"/>
          <w:sz w:val="28"/>
          <w:szCs w:val="28"/>
        </w:rPr>
      </w:pPr>
      <w:r>
        <w:rPr>
          <w:rFonts w:hint="eastAsia" w:ascii="仿宋" w:hAnsi="仿宋" w:eastAsia="仿宋" w:cs="仿宋"/>
          <w:sz w:val="28"/>
          <w:szCs w:val="28"/>
        </w:rPr>
        <w:t>27、服务商应为医院职工提供生活便利，提供净菜包和净菜柜让医院职工选购生蔬。</w:t>
      </w:r>
    </w:p>
    <w:p>
      <w:pPr>
        <w:adjustRightInd w:val="0"/>
        <w:snapToGrid w:val="0"/>
        <w:spacing w:line="276" w:lineRule="auto"/>
        <w:ind w:left="2" w:firstLine="534" w:firstLineChars="190"/>
        <w:rPr>
          <w:rFonts w:ascii="仿宋" w:hAnsi="仿宋" w:eastAsia="仿宋" w:cs="仿宋"/>
          <w:b/>
          <w:sz w:val="28"/>
          <w:szCs w:val="28"/>
        </w:rPr>
      </w:pPr>
      <w:r>
        <w:rPr>
          <w:rFonts w:hint="eastAsia" w:ascii="仿宋" w:hAnsi="仿宋" w:eastAsia="仿宋" w:cs="仿宋"/>
          <w:b/>
          <w:sz w:val="28"/>
          <w:szCs w:val="28"/>
        </w:rPr>
        <w:t>六、履约监管</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1、违反医院管理规定发生影响医院声誉形象的投诉，经调查属实的，每次扣5000元。</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违反医院管理规定发生影响医院声誉形象的网络舆情，导致安全事件或其他不良事件发生，影响医院正常工作和声誉的，须缴纳当月服务费5%-10%作为违约金，严重事件要承担由此导致一切后果并移交公安机关处置。</w:t>
      </w:r>
    </w:p>
    <w:p>
      <w:pPr>
        <w:adjustRightInd w:val="0"/>
        <w:snapToGrid w:val="0"/>
        <w:spacing w:line="276" w:lineRule="auto"/>
        <w:ind w:left="2" w:firstLine="560" w:firstLineChars="200"/>
        <w:rPr>
          <w:rFonts w:ascii="仿宋" w:hAnsi="仿宋" w:eastAsia="仿宋" w:cs="仿宋"/>
          <w:sz w:val="28"/>
          <w:szCs w:val="28"/>
        </w:rPr>
      </w:pPr>
      <w:r>
        <w:rPr>
          <w:rFonts w:hint="eastAsia" w:ascii="仿宋" w:hAnsi="仿宋" w:eastAsia="仿宋" w:cs="仿宋"/>
          <w:sz w:val="28"/>
          <w:szCs w:val="28"/>
        </w:rPr>
        <w:t>3、服务商员工发生如下违反医院规定行为的每次扣除服务费300元：</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（1）不按要求穿戴工衣帽鞋、手套等不符合仪容仪表要求。</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（2）不按要求进行各项操作。</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（3）一般服务态度投诉属实。</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（4）员工在院内吵架。</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（5）电池车在院内充电，如因此发生安全事故，移交公安机关并追究法律责任。</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（6）不按医院要求使用电梯。</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4、服务商员工不服从医院管理人员工作安排，出现辱骂、恐吓、殴打医院管理人员、病人、家属等行为，按情节严重程度缴纳2000—5000元违约金，该员工调离该项目工作场所，服务商并承担相应责任，涉及违法行为移交公安机关追究法律责任。</w:t>
      </w:r>
    </w:p>
    <w:p>
      <w:pPr>
        <w:tabs>
          <w:tab w:val="left" w:pos="753"/>
        </w:tabs>
        <w:adjustRightInd w:val="0"/>
        <w:snapToGrid w:val="0"/>
        <w:spacing w:line="276" w:lineRule="auto"/>
        <w:ind w:firstLine="562" w:firstLineChars="200"/>
        <w:rPr>
          <w:rFonts w:ascii="仿宋" w:hAnsi="仿宋" w:eastAsia="仿宋" w:cs="仿宋"/>
          <w:b/>
          <w:sz w:val="28"/>
          <w:szCs w:val="28"/>
        </w:rPr>
      </w:pPr>
      <w:r>
        <w:rPr>
          <w:rFonts w:hint="eastAsia" w:ascii="仿宋" w:hAnsi="仿宋" w:eastAsia="仿宋" w:cs="仿宋"/>
          <w:b/>
          <w:sz w:val="28"/>
          <w:szCs w:val="28"/>
        </w:rPr>
        <w:t>七、服务质量考评</w:t>
      </w:r>
    </w:p>
    <w:p>
      <w:pPr>
        <w:adjustRightInd w:val="0"/>
        <w:snapToGrid w:val="0"/>
        <w:spacing w:line="276" w:lineRule="auto"/>
        <w:ind w:left="2" w:firstLine="672" w:firstLineChars="240"/>
        <w:rPr>
          <w:rFonts w:ascii="仿宋" w:hAnsi="仿宋" w:eastAsia="仿宋" w:cs="仿宋"/>
          <w:sz w:val="28"/>
          <w:szCs w:val="28"/>
        </w:rPr>
      </w:pPr>
      <w:r>
        <w:rPr>
          <w:rFonts w:hint="eastAsia" w:ascii="仿宋" w:hAnsi="仿宋" w:eastAsia="仿宋" w:cs="仿宋"/>
          <w:sz w:val="28"/>
          <w:szCs w:val="28"/>
        </w:rPr>
        <w:t>1、服务质量月度综合考评（附件1）</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（1）考核内容。由职工代表、工会委员现场对供餐服务商的安全标准、质量标准、日常运营评价管理等三个方面进行评价。</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（2）考核频次。每月不少于1次，采取不定期的形式。</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（3）月度考评在80分以上的（含80分）不扣减考核费用；月度考评在70分（含70分）至79分的每差1分须缴纳2000元违约金；月度考核在69分以下的每差1分须缴纳3000元违约金；连续3个月考核低于60分的，终止合同。</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 xml:space="preserve">  2、月度综合满意度考评（附件2）</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（1）考核内容。员工及病患的对服务态度、卫生情况、菜式种类及更新就10项就餐满意情况进行评价。</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（2）考核频次。每月不少于1次，采取不定期的形式。</w:t>
      </w:r>
    </w:p>
    <w:p>
      <w:pPr>
        <w:adjustRightInd w:val="0"/>
        <w:snapToGrid w:val="0"/>
        <w:spacing w:line="276" w:lineRule="auto"/>
        <w:ind w:left="2" w:firstLine="532" w:firstLineChars="190"/>
        <w:rPr>
          <w:rFonts w:ascii="仿宋" w:hAnsi="仿宋" w:eastAsia="仿宋" w:cs="仿宋"/>
          <w:sz w:val="28"/>
          <w:szCs w:val="28"/>
        </w:rPr>
      </w:pPr>
      <w:r>
        <w:rPr>
          <w:rFonts w:hint="eastAsia" w:ascii="仿宋" w:hAnsi="仿宋" w:eastAsia="仿宋" w:cs="仿宋"/>
          <w:sz w:val="28"/>
          <w:szCs w:val="28"/>
        </w:rPr>
        <w:t xml:space="preserve">（3）职工、患者就餐综合满意度达标区间为不低于75%，每月扣下营业额（不含患者就餐的营业额）的5%作为考核评价基金。在服务商当月满意度达标后，扣下的考核评价基金，于结算次月餐费时返还给服务商。综合满意度不达标扣罚当月考核评价基金，连续3个月不达标终止合同。 </w:t>
      </w:r>
    </w:p>
    <w:p>
      <w:pPr>
        <w:pStyle w:val="2"/>
        <w:spacing w:line="276" w:lineRule="auto"/>
        <w:ind w:firstLine="562"/>
        <w:rPr>
          <w:rFonts w:ascii="仿宋" w:hAnsi="仿宋" w:eastAsia="仿宋" w:cs="仿宋"/>
          <w:b/>
          <w:sz w:val="28"/>
          <w:szCs w:val="28"/>
        </w:rPr>
      </w:pPr>
      <w:r>
        <w:rPr>
          <w:rFonts w:hint="eastAsia" w:ascii="仿宋" w:hAnsi="仿宋" w:eastAsia="仿宋" w:cs="仿宋"/>
          <w:b/>
          <w:sz w:val="28"/>
          <w:szCs w:val="28"/>
        </w:rPr>
        <w:t>八、其他</w:t>
      </w:r>
    </w:p>
    <w:p>
      <w:pPr>
        <w:pStyle w:val="14"/>
        <w:adjustRightInd w:val="0"/>
        <w:snapToGrid w:val="0"/>
        <w:spacing w:line="276" w:lineRule="auto"/>
        <w:ind w:firstLine="420" w:firstLineChars="150"/>
        <w:rPr>
          <w:rFonts w:ascii="仿宋" w:hAnsi="仿宋" w:eastAsia="仿宋" w:cs="仿宋"/>
          <w:sz w:val="28"/>
          <w:szCs w:val="28"/>
        </w:rPr>
      </w:pPr>
      <w:r>
        <w:rPr>
          <w:rFonts w:hint="eastAsia" w:ascii="仿宋" w:hAnsi="仿宋" w:eastAsia="仿宋" w:cs="仿宋"/>
          <w:sz w:val="28"/>
          <w:szCs w:val="28"/>
        </w:rPr>
        <w:t>服务商在服务期内，由于原料加工、烹调过程中引发的食品安全事故，由服务商承全部责任及费用。服务商须在收到中标通知书后1个月内购买保额不低于200万元的公众责任险（被保险人须包含医院）及购买保额不低于200万元的食品安全责任险（被保险人须包含医院），购买的保单复印件交由医院管理部门存档。</w:t>
      </w: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pPr>
        <w:rPr>
          <w:rFonts w:hint="eastAsia" w:ascii="仿宋" w:hAnsi="仿宋" w:eastAsia="仿宋" w:cs="仿宋"/>
          <w:b/>
          <w:sz w:val="28"/>
          <w:szCs w:val="28"/>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rPr>
          <w:rFonts w:hint="eastAsia"/>
        </w:rPr>
      </w:pPr>
    </w:p>
    <w:p>
      <w:pPr>
        <w:pStyle w:val="2"/>
        <w:ind w:firstLine="400"/>
      </w:pPr>
    </w:p>
    <w:p>
      <w:pPr>
        <w:pStyle w:val="14"/>
        <w:adjustRightInd w:val="0"/>
        <w:snapToGrid w:val="0"/>
        <w:rPr>
          <w:rFonts w:ascii="仿宋_GB2312" w:hAnsi="宋体" w:eastAsia="仿宋_GB2312"/>
          <w:b/>
          <w:bCs/>
          <w:sz w:val="28"/>
          <w:szCs w:val="28"/>
        </w:rPr>
      </w:pPr>
      <w:r>
        <w:rPr>
          <w:rFonts w:hint="eastAsia" w:ascii="仿宋_GB2312" w:hAnsi="宋体" w:eastAsia="仿宋_GB2312"/>
          <w:b/>
          <w:bCs/>
          <w:sz w:val="28"/>
          <w:szCs w:val="28"/>
        </w:rPr>
        <w:t>附件1</w:t>
      </w:r>
    </w:p>
    <w:p>
      <w:pPr>
        <w:autoSpaceDE w:val="0"/>
        <w:autoSpaceDN w:val="0"/>
        <w:jc w:val="center"/>
        <w:rPr>
          <w:rFonts w:ascii="仿宋" w:hAnsi="仿宋" w:eastAsia="仿宋" w:cs="黑体"/>
          <w:b/>
          <w:sz w:val="28"/>
          <w:szCs w:val="28"/>
        </w:rPr>
      </w:pPr>
      <w:r>
        <w:rPr>
          <w:rFonts w:hint="eastAsia" w:ascii="仿宋" w:hAnsi="仿宋" w:eastAsia="仿宋" w:cs="黑体"/>
          <w:b/>
          <w:sz w:val="28"/>
          <w:szCs w:val="28"/>
        </w:rPr>
        <w:t>中山大学附属第六医院（知识城院区）</w:t>
      </w:r>
    </w:p>
    <w:p>
      <w:pPr>
        <w:autoSpaceDE w:val="0"/>
        <w:autoSpaceDN w:val="0"/>
        <w:jc w:val="center"/>
        <w:rPr>
          <w:rFonts w:ascii="仿宋" w:hAnsi="仿宋" w:eastAsia="仿宋" w:cs="黑体"/>
          <w:b/>
          <w:sz w:val="28"/>
          <w:szCs w:val="28"/>
        </w:rPr>
      </w:pPr>
      <w:r>
        <w:rPr>
          <w:rFonts w:hint="eastAsia" w:ascii="仿宋" w:hAnsi="仿宋" w:eastAsia="仿宋" w:cs="黑体"/>
          <w:b/>
          <w:sz w:val="28"/>
          <w:szCs w:val="28"/>
        </w:rPr>
        <w:t>餐饮服务质量月度综合考评表</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134"/>
        <w:gridCol w:w="5318"/>
        <w:gridCol w:w="635"/>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101"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考核项目</w:t>
            </w:r>
          </w:p>
        </w:tc>
        <w:tc>
          <w:tcPr>
            <w:tcW w:w="1134"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评价指标</w:t>
            </w:r>
          </w:p>
        </w:tc>
        <w:tc>
          <w:tcPr>
            <w:tcW w:w="5318"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考核标准</w:t>
            </w:r>
          </w:p>
        </w:tc>
        <w:tc>
          <w:tcPr>
            <w:tcW w:w="635"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分值</w:t>
            </w:r>
          </w:p>
        </w:tc>
        <w:tc>
          <w:tcPr>
            <w:tcW w:w="709" w:type="dxa"/>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101" w:type="dxa"/>
            <w:vMerge w:val="restart"/>
          </w:tcPr>
          <w:p>
            <w:pPr>
              <w:pStyle w:val="14"/>
              <w:tabs>
                <w:tab w:val="left" w:pos="2340"/>
              </w:tabs>
              <w:adjustRightInd w:val="0"/>
              <w:snapToGrid w:val="0"/>
              <w:rPr>
                <w:rFonts w:ascii="仿宋_GB2312" w:hAnsi="宋体" w:eastAsia="仿宋_GB2312"/>
              </w:rPr>
            </w:pPr>
            <w:r>
              <w:rPr>
                <w:rFonts w:hint="eastAsia" w:ascii="仿宋_GB2312" w:hAnsi="宋体" w:eastAsia="仿宋_GB2312"/>
              </w:rPr>
              <w:t>安全标准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（30）</w:t>
            </w:r>
          </w:p>
        </w:tc>
        <w:tc>
          <w:tcPr>
            <w:tcW w:w="1134"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生产安全</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关键记录不得缺失，如巡查记录、餐具消毒记录、食品留样记录、食品添加剂使用记录、燃气用电使用记录、安全卫生检查记录、外来人员登记记录、冰库温度记录、消毒品配置记录、农残检测记录、每日人员健康检查记录、培训记录等，应如实记录，符合常识，不得伪造记录。</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2.验收食材，不得验收腐烂、异味、外包装破损、过期等存在质量问题的食材，严禁使用非食用物质加工食品，加工食物不得使用过期原辅料。</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3.添加剂必须符合GB2760的要求，添加剂的使用量必须符合GB2760要求，不得随意使用非食品添加剂。</w:t>
            </w:r>
          </w:p>
          <w:p>
            <w:pPr>
              <w:pStyle w:val="14"/>
              <w:tabs>
                <w:tab w:val="left" w:pos="2340"/>
              </w:tabs>
              <w:adjustRightInd w:val="0"/>
              <w:snapToGrid w:val="0"/>
              <w:rPr>
                <w:rFonts w:ascii="仿宋_GB2312" w:hAnsi="宋体" w:eastAsia="仿宋_GB2312"/>
              </w:rPr>
            </w:pPr>
            <w:r>
              <w:rPr>
                <w:rFonts w:hint="eastAsia" w:ascii="仿宋_GB2312" w:hAnsi="宋体" w:eastAsia="仿宋_GB2312"/>
              </w:rPr>
              <w:t>4.烹调前应认真检查待加工食品，发现有腐烂、变质或者其他感官性状异常的，不得进行烹调加工。</w:t>
            </w:r>
          </w:p>
          <w:p>
            <w:pPr>
              <w:pStyle w:val="14"/>
              <w:tabs>
                <w:tab w:val="left" w:pos="2340"/>
              </w:tabs>
              <w:adjustRightInd w:val="0"/>
              <w:snapToGrid w:val="0"/>
              <w:rPr>
                <w:rFonts w:ascii="仿宋_GB2312" w:hAnsi="宋体" w:eastAsia="仿宋_GB2312"/>
              </w:rPr>
            </w:pPr>
            <w:r>
              <w:rPr>
                <w:rFonts w:hint="eastAsia" w:ascii="仿宋_GB2312" w:hAnsi="宋体" w:eastAsia="仿宋_GB2312"/>
              </w:rPr>
              <w:t>5.需要冷藏的熟制品，应尽快冷却后再冷藏，待用的食品与用具等应有良好覆盖或保护。</w:t>
            </w:r>
          </w:p>
          <w:p>
            <w:pPr>
              <w:pStyle w:val="14"/>
              <w:tabs>
                <w:tab w:val="left" w:pos="2340"/>
              </w:tabs>
              <w:adjustRightInd w:val="0"/>
              <w:snapToGrid w:val="0"/>
              <w:rPr>
                <w:rFonts w:ascii="仿宋_GB2312" w:hAnsi="宋体" w:eastAsia="仿宋_GB2312"/>
              </w:rPr>
            </w:pPr>
            <w:r>
              <w:rPr>
                <w:rFonts w:hint="eastAsia" w:ascii="仿宋_GB2312" w:hAnsi="宋体" w:eastAsia="仿宋_GB2312"/>
              </w:rPr>
              <w:t>6.建立食品留样制度并有效实施，所有食品都应建立留样制度，食品留样在冷藏条件下存放48小时，每个留样不少于150g。</w:t>
            </w:r>
          </w:p>
          <w:p>
            <w:pPr>
              <w:pStyle w:val="14"/>
              <w:tabs>
                <w:tab w:val="left" w:pos="2340"/>
              </w:tabs>
              <w:adjustRightInd w:val="0"/>
              <w:snapToGrid w:val="0"/>
              <w:rPr>
                <w:rFonts w:ascii="仿宋_GB2312" w:hAnsi="宋体" w:eastAsia="仿宋_GB2312"/>
              </w:rPr>
            </w:pPr>
            <w:r>
              <w:rPr>
                <w:rFonts w:hint="eastAsia" w:ascii="仿宋_GB2312" w:hAnsi="宋体" w:eastAsia="仿宋_GB2312"/>
              </w:rPr>
              <w:t>7.操作间不得存在挂架超重，物品存储不得存在滑倒、碰撞、密闭空间关人等风险。</w:t>
            </w:r>
          </w:p>
          <w:p>
            <w:pPr>
              <w:pStyle w:val="14"/>
              <w:tabs>
                <w:tab w:val="left" w:pos="2340"/>
              </w:tabs>
              <w:adjustRightInd w:val="0"/>
              <w:snapToGrid w:val="0"/>
              <w:rPr>
                <w:rFonts w:ascii="仿宋_GB2312" w:hAnsi="宋体" w:eastAsia="仿宋_GB2312"/>
              </w:rPr>
            </w:pPr>
            <w:r>
              <w:rPr>
                <w:rFonts w:hint="eastAsia" w:ascii="仿宋_GB2312" w:hAnsi="宋体" w:eastAsia="仿宋_GB2312"/>
              </w:rPr>
              <w:t>8.烹调过程所使用的工器具、厨具、餐具、设备应正常使用和经过充分清洗和消毒，员工能够按照相应的程序正确清洗与消毒，清洗过程不造成交叉污染，清洗后的餐具和工器具保持清洁和清洗干净，待用工器具应正确存放。</w:t>
            </w:r>
          </w:p>
          <w:p>
            <w:pPr>
              <w:pStyle w:val="14"/>
              <w:tabs>
                <w:tab w:val="left" w:pos="2340"/>
              </w:tabs>
              <w:adjustRightInd w:val="0"/>
              <w:snapToGrid w:val="0"/>
              <w:rPr>
                <w:rFonts w:ascii="仿宋_GB2312" w:hAnsi="宋体" w:eastAsia="仿宋_GB2312"/>
              </w:rPr>
            </w:pPr>
            <w:r>
              <w:rPr>
                <w:rFonts w:hint="eastAsia" w:ascii="仿宋_GB2312" w:hAnsi="宋体" w:eastAsia="仿宋_GB2312"/>
              </w:rPr>
              <w:t>（发现违反上述规定，每次扣1分）</w:t>
            </w:r>
          </w:p>
        </w:tc>
        <w:tc>
          <w:tcPr>
            <w:tcW w:w="635"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10</w:t>
            </w:r>
          </w:p>
        </w:tc>
        <w:tc>
          <w:tcPr>
            <w:tcW w:w="709" w:type="dxa"/>
          </w:tcPr>
          <w:p>
            <w:pPr>
              <w:pStyle w:val="14"/>
              <w:tabs>
                <w:tab w:val="left" w:pos="2340"/>
              </w:tabs>
              <w:adjustRightInd w:val="0"/>
              <w:snapToGrid w:val="0"/>
              <w:rPr>
                <w:rFonts w:ascii="仿宋_GB2312" w:hAnsi="宋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101" w:type="dxa"/>
            <w:vMerge w:val="continue"/>
          </w:tcPr>
          <w:p>
            <w:pPr>
              <w:pStyle w:val="14"/>
              <w:tabs>
                <w:tab w:val="left" w:pos="2340"/>
              </w:tabs>
              <w:adjustRightInd w:val="0"/>
              <w:snapToGrid w:val="0"/>
              <w:rPr>
                <w:rFonts w:ascii="仿宋_GB2312" w:hAnsi="宋体" w:eastAsia="仿宋_GB2312"/>
              </w:rPr>
            </w:pPr>
          </w:p>
        </w:tc>
        <w:tc>
          <w:tcPr>
            <w:tcW w:w="1134"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操作规范</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1.按照要求规范使用专用抹布，不得使用钢丝球。</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2.应制定餐厅日常管理制度、专用设备操作规程、厨房设备的安全操作指南、紧急事故处理步骤，制度上墙。</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3.设备设施应有使用标识、安全标识应完好，电气设备接头应牢固，各种电器设备在不用时或用完后应切断电源，杜绝安全隐患。</w:t>
            </w:r>
          </w:p>
          <w:p>
            <w:pPr>
              <w:pStyle w:val="14"/>
              <w:tabs>
                <w:tab w:val="left" w:pos="2340"/>
              </w:tabs>
              <w:adjustRightInd w:val="0"/>
              <w:snapToGrid w:val="0"/>
              <w:rPr>
                <w:rFonts w:ascii="仿宋_GB2312" w:hAnsi="宋体" w:eastAsia="仿宋_GB2312"/>
              </w:rPr>
            </w:pPr>
            <w:r>
              <w:rPr>
                <w:rFonts w:hint="eastAsia" w:ascii="仿宋_GB2312" w:hAnsi="宋体" w:eastAsia="仿宋_GB2312"/>
              </w:rPr>
              <w:t>（发现违反上述规定，每次扣1分）</w:t>
            </w:r>
          </w:p>
        </w:tc>
        <w:tc>
          <w:tcPr>
            <w:tcW w:w="635" w:type="dxa"/>
            <w:vAlign w:val="center"/>
          </w:tcPr>
          <w:p>
            <w:pPr>
              <w:widowControl w:val="0"/>
              <w:jc w:val="center"/>
              <w:rPr>
                <w:rFonts w:ascii="仿宋_GB2312" w:hAnsi="宋体" w:eastAsia="仿宋_GB2312" w:cs="Courier New"/>
                <w:szCs w:val="21"/>
              </w:rPr>
            </w:pPr>
            <w:r>
              <w:rPr>
                <w:rFonts w:hint="eastAsia" w:ascii="仿宋_GB2312" w:hAnsi="宋体" w:eastAsia="仿宋_GB2312" w:cs="Courier New"/>
                <w:szCs w:val="21"/>
              </w:rPr>
              <w:t>5</w:t>
            </w:r>
          </w:p>
        </w:tc>
        <w:tc>
          <w:tcPr>
            <w:tcW w:w="709" w:type="dxa"/>
          </w:tcPr>
          <w:p>
            <w:pPr>
              <w:widowControl w:val="0"/>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101" w:type="dxa"/>
            <w:vMerge w:val="continue"/>
          </w:tcPr>
          <w:p>
            <w:pPr>
              <w:pStyle w:val="14"/>
              <w:tabs>
                <w:tab w:val="left" w:pos="2340"/>
              </w:tabs>
              <w:adjustRightInd w:val="0"/>
              <w:snapToGrid w:val="0"/>
              <w:rPr>
                <w:rFonts w:ascii="仿宋_GB2312" w:hAnsi="宋体" w:eastAsia="仿宋_GB2312"/>
              </w:rPr>
            </w:pPr>
          </w:p>
        </w:tc>
        <w:tc>
          <w:tcPr>
            <w:tcW w:w="1134" w:type="dxa"/>
            <w:vAlign w:val="center"/>
          </w:tcPr>
          <w:p>
            <w:pPr>
              <w:pStyle w:val="14"/>
              <w:tabs>
                <w:tab w:val="left" w:pos="2340"/>
              </w:tabs>
              <w:adjustRightInd w:val="0"/>
              <w:snapToGrid w:val="0"/>
              <w:jc w:val="center"/>
              <w:rPr>
                <w:rFonts w:ascii="仿宋_GB2312" w:hAnsi="宋体" w:eastAsia="仿宋_GB2312"/>
              </w:rPr>
            </w:pPr>
            <w:r>
              <w:rPr>
                <w:rFonts w:hint="eastAsia" w:ascii="仿宋_GB2312" w:hAnsi="宋体" w:eastAsia="仿宋_GB2312"/>
              </w:rPr>
              <w:t>异物概率</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1.因未清洗干净而出现的异物，例如：毛发、沙粒、果蝇、小菜虫类等，每月低于3次不作扣分处理，超过的部分每次扣1分。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2.因未处理干净的预包装类异物，例如：橡皮筋、绳子、包装袋、纸、泡沫、化肥残留物等，每月低于3次不作扣分处理，超过的部分每次罚1分。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3.因加工过程中所产生的异物，例如：一次性手套、保鲜膜、标签纸等、指甲、口香糖、创可贴、烟头、玻璃、牙签、铁丝、亚克力板等其它类异物，每次扣5分。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4.食品中出现蟑螂、苍蝇、蚂蚁等恶性异物时，每次扣5分。</w:t>
            </w:r>
          </w:p>
        </w:tc>
        <w:tc>
          <w:tcPr>
            <w:tcW w:w="635" w:type="dxa"/>
            <w:vAlign w:val="center"/>
          </w:tcPr>
          <w:p>
            <w:pPr>
              <w:widowControl w:val="0"/>
              <w:jc w:val="center"/>
              <w:rPr>
                <w:rFonts w:ascii="仿宋_GB2312" w:hAnsi="宋体" w:eastAsia="仿宋_GB2312" w:cs="Courier New"/>
                <w:szCs w:val="21"/>
              </w:rPr>
            </w:pPr>
            <w:r>
              <w:rPr>
                <w:rFonts w:hint="eastAsia" w:ascii="仿宋_GB2312" w:hAnsi="宋体" w:eastAsia="仿宋_GB2312" w:cs="Courier New"/>
                <w:szCs w:val="21"/>
              </w:rPr>
              <w:t>5</w:t>
            </w:r>
          </w:p>
        </w:tc>
        <w:tc>
          <w:tcPr>
            <w:tcW w:w="709" w:type="dxa"/>
          </w:tcPr>
          <w:p>
            <w:pPr>
              <w:widowControl w:val="0"/>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101" w:type="dxa"/>
            <w:vMerge w:val="continue"/>
          </w:tcPr>
          <w:p>
            <w:pPr>
              <w:pStyle w:val="14"/>
              <w:tabs>
                <w:tab w:val="left" w:pos="2340"/>
              </w:tabs>
              <w:adjustRightInd w:val="0"/>
              <w:snapToGrid w:val="0"/>
              <w:rPr>
                <w:rFonts w:ascii="仿宋_GB2312" w:hAnsi="宋体" w:eastAsia="仿宋_GB2312"/>
              </w:rPr>
            </w:pPr>
          </w:p>
        </w:tc>
        <w:tc>
          <w:tcPr>
            <w:tcW w:w="1134"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环境卫生</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1.操作过程中不得将地漏盖移位或残渣堆滞现象，应保持下水道畅通，以防出现下水道堵塞现象。</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2.应保持环境清洁，整体卫生良好，门、窗户、照明、墙壁、天花板、操作台、刀具、砧板等设备应保持清洁，并符合卫生要求。</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3.垃圾箱加盖及外观清洁无斑迹，定时转移餐厨垃圾。</w:t>
            </w:r>
          </w:p>
          <w:p>
            <w:pPr>
              <w:pStyle w:val="14"/>
              <w:tabs>
                <w:tab w:val="left" w:pos="2340"/>
              </w:tabs>
              <w:adjustRightInd w:val="0"/>
              <w:snapToGrid w:val="0"/>
              <w:rPr>
                <w:rFonts w:ascii="仿宋_GB2312" w:hAnsi="宋体" w:eastAsia="仿宋_GB2312"/>
              </w:rPr>
            </w:pPr>
            <w:r>
              <w:rPr>
                <w:rFonts w:hint="eastAsia" w:ascii="仿宋_GB2312" w:hAnsi="宋体" w:eastAsia="仿宋_GB2312"/>
              </w:rPr>
              <w:t>4.废弃物设施应经常清洁消毒，清洁工具如扫把拖把能正常使用。</w:t>
            </w:r>
          </w:p>
          <w:p>
            <w:pPr>
              <w:pStyle w:val="14"/>
              <w:tabs>
                <w:tab w:val="left" w:pos="2340"/>
              </w:tabs>
              <w:adjustRightInd w:val="0"/>
              <w:snapToGrid w:val="0"/>
              <w:rPr>
                <w:rFonts w:ascii="仿宋_GB2312" w:hAnsi="宋体" w:eastAsia="仿宋_GB2312"/>
              </w:rPr>
            </w:pPr>
            <w:r>
              <w:rPr>
                <w:rFonts w:hint="eastAsia" w:ascii="仿宋_GB2312" w:hAnsi="宋体" w:eastAsia="仿宋_GB2312"/>
              </w:rPr>
              <w:t>5.建筑物、设备、用具、以及所有机构设施，包括排水系统，保持在适当的维护状态和条件下，符合所有卫生标准。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6.食品标签正常、正确标识。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（发现违反上述规定，每次扣1分）</w:t>
            </w:r>
          </w:p>
        </w:tc>
        <w:tc>
          <w:tcPr>
            <w:tcW w:w="635" w:type="dxa"/>
            <w:vAlign w:val="center"/>
          </w:tcPr>
          <w:p>
            <w:pPr>
              <w:widowControl w:val="0"/>
              <w:ind w:firstLine="281"/>
              <w:jc w:val="center"/>
              <w:rPr>
                <w:rFonts w:ascii="仿宋_GB2312" w:hAnsi="宋体" w:eastAsia="仿宋_GB2312" w:cs="Courier New"/>
                <w:szCs w:val="21"/>
              </w:rPr>
            </w:pPr>
            <w:r>
              <w:rPr>
                <w:rFonts w:hint="eastAsia" w:ascii="仿宋_GB2312" w:hAnsi="宋体" w:eastAsia="仿宋_GB2312" w:cs="Courier New"/>
                <w:szCs w:val="21"/>
              </w:rPr>
              <w:t>5</w:t>
            </w:r>
          </w:p>
        </w:tc>
        <w:tc>
          <w:tcPr>
            <w:tcW w:w="709" w:type="dxa"/>
          </w:tcPr>
          <w:p>
            <w:pPr>
              <w:widowControl w:val="0"/>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01" w:type="dxa"/>
            <w:vMerge w:val="continue"/>
          </w:tcPr>
          <w:p>
            <w:pPr>
              <w:pStyle w:val="14"/>
              <w:tabs>
                <w:tab w:val="left" w:pos="2340"/>
              </w:tabs>
              <w:adjustRightInd w:val="0"/>
              <w:snapToGrid w:val="0"/>
              <w:rPr>
                <w:rFonts w:ascii="仿宋_GB2312" w:hAnsi="宋体" w:eastAsia="仿宋_GB2312"/>
              </w:rPr>
            </w:pPr>
          </w:p>
        </w:tc>
        <w:tc>
          <w:tcPr>
            <w:tcW w:w="1134"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防范措施</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1.每日严格执行晨检制度，有发热、腹泻、皮肤伤口等有碍食品安全病症的人员，应立即离开岗位，治愈后方可重新上岗。</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2.员工若没有持有效的健康证上岗，每次扣5分。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3.工作人员仪容仪表符合要求，按要求着装，工衣干净、齐全、佩戴正确（帽子、发网、围裙等），员工佩戴口罩符合要求，在食品加工区域禁止佩戴首饰（戒指、耳环、垂饰、手表等）。</w:t>
            </w:r>
          </w:p>
          <w:p>
            <w:pPr>
              <w:pStyle w:val="14"/>
              <w:tabs>
                <w:tab w:val="left" w:pos="2340"/>
              </w:tabs>
              <w:adjustRightInd w:val="0"/>
              <w:snapToGrid w:val="0"/>
              <w:rPr>
                <w:rFonts w:ascii="仿宋_GB2312" w:hAnsi="宋体" w:eastAsia="仿宋_GB2312"/>
              </w:rPr>
            </w:pPr>
            <w:r>
              <w:rPr>
                <w:rFonts w:hint="eastAsia" w:ascii="仿宋_GB2312" w:hAnsi="宋体" w:eastAsia="仿宋_GB2312"/>
              </w:rPr>
              <w:t>4.男工作人员不留胡须、头发的长度前面不超过眉毛、侧面不超过耳垂、后面不超过衣领。女工作人员长发应扎起，且头发应全部放置工作帽中。</w:t>
            </w:r>
          </w:p>
          <w:p>
            <w:pPr>
              <w:pStyle w:val="14"/>
              <w:tabs>
                <w:tab w:val="left" w:pos="2340"/>
              </w:tabs>
              <w:adjustRightInd w:val="0"/>
              <w:snapToGrid w:val="0"/>
              <w:rPr>
                <w:rFonts w:ascii="仿宋_GB2312" w:hAnsi="宋体" w:eastAsia="仿宋_GB2312"/>
              </w:rPr>
            </w:pPr>
            <w:r>
              <w:rPr>
                <w:rFonts w:hint="eastAsia" w:ascii="仿宋_GB2312" w:hAnsi="宋体" w:eastAsia="仿宋_GB2312"/>
              </w:rPr>
              <w:t>5.餐厅工作人员无蓄留指甲、涂指甲油或戴假指甲等现象</w:t>
            </w:r>
          </w:p>
          <w:p>
            <w:pPr>
              <w:pStyle w:val="14"/>
              <w:tabs>
                <w:tab w:val="left" w:pos="2340"/>
              </w:tabs>
              <w:adjustRightInd w:val="0"/>
              <w:snapToGrid w:val="0"/>
              <w:rPr>
                <w:rFonts w:ascii="仿宋_GB2312" w:hAnsi="宋体" w:eastAsia="仿宋_GB2312"/>
              </w:rPr>
            </w:pPr>
            <w:r>
              <w:rPr>
                <w:rFonts w:hint="eastAsia" w:ascii="仿宋_GB2312" w:hAnsi="宋体" w:eastAsia="仿宋_GB2312"/>
              </w:rPr>
              <w:t>6.在食品区域内张贴员工个人规范示意图。</w:t>
            </w:r>
          </w:p>
          <w:p>
            <w:pPr>
              <w:pStyle w:val="14"/>
              <w:tabs>
                <w:tab w:val="left" w:pos="2340"/>
              </w:tabs>
              <w:adjustRightInd w:val="0"/>
              <w:snapToGrid w:val="0"/>
              <w:rPr>
                <w:rFonts w:ascii="仿宋_GB2312" w:hAnsi="宋体" w:eastAsia="仿宋_GB2312"/>
              </w:rPr>
            </w:pPr>
            <w:r>
              <w:rPr>
                <w:rFonts w:hint="eastAsia" w:ascii="仿宋_GB2312" w:hAnsi="宋体" w:eastAsia="仿宋_GB2312"/>
              </w:rPr>
              <w:t>7.专间操作人员进入专间时应再次更换专间内专用工作衣帽并佩戴口罩，每次使用后，紫外线开启至少30分钟。</w:t>
            </w:r>
          </w:p>
          <w:p>
            <w:pPr>
              <w:pStyle w:val="14"/>
              <w:tabs>
                <w:tab w:val="left" w:pos="2340"/>
              </w:tabs>
              <w:adjustRightInd w:val="0"/>
              <w:snapToGrid w:val="0"/>
              <w:rPr>
                <w:rFonts w:ascii="仿宋_GB2312" w:hAnsi="宋体" w:eastAsia="仿宋_GB2312"/>
              </w:rPr>
            </w:pPr>
            <w:r>
              <w:rPr>
                <w:rFonts w:hint="eastAsia" w:ascii="仿宋_GB2312" w:hAnsi="宋体" w:eastAsia="仿宋_GB2312"/>
              </w:rPr>
              <w:t>8.应在指定区域进食、喝水，厨房及相关区域不得存放私人物品，如水杯，药片等。</w:t>
            </w:r>
          </w:p>
          <w:p>
            <w:pPr>
              <w:pStyle w:val="14"/>
              <w:tabs>
                <w:tab w:val="left" w:pos="2340"/>
              </w:tabs>
              <w:adjustRightInd w:val="0"/>
              <w:snapToGrid w:val="0"/>
              <w:rPr>
                <w:rFonts w:ascii="仿宋_GB2312" w:hAnsi="宋体" w:eastAsia="仿宋_GB2312"/>
              </w:rPr>
            </w:pPr>
            <w:r>
              <w:rPr>
                <w:rFonts w:hint="eastAsia" w:ascii="仿宋_GB2312" w:hAnsi="宋体" w:eastAsia="仿宋_GB2312"/>
              </w:rPr>
              <w:t>9.非食品工作人员进入工作区域，应按上述要求穿着工作服、口包、帽子等。</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10.应有充足的洗手液、纸巾及干手设施，并张贴正确的洗手程序。</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11.食堂应指定虫害控制管理人员，负责与虫害控制活动，或与虫害控制外包方协调虫害控制活动。鼠笼、粘鼠板、灭蝇灯应定期检查，以确定虫害活动的新迹象，定期分析对虫害活动的趋势。</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12.应有明确区分盛放化学品与食品的容器，且应独立分开存放，不得交叉存放、同区域存放、混放。</w:t>
            </w:r>
          </w:p>
          <w:p>
            <w:pPr>
              <w:pStyle w:val="14"/>
              <w:tabs>
                <w:tab w:val="left" w:pos="2340"/>
              </w:tabs>
              <w:adjustRightInd w:val="0"/>
              <w:snapToGrid w:val="0"/>
              <w:rPr>
                <w:rFonts w:ascii="仿宋_GB2312" w:hAnsi="宋体" w:eastAsia="仿宋_GB2312"/>
              </w:rPr>
            </w:pPr>
            <w:r>
              <w:rPr>
                <w:rFonts w:hint="eastAsia" w:ascii="仿宋_GB2312" w:hAnsi="宋体" w:eastAsia="仿宋_GB2312"/>
              </w:rPr>
              <w:t>（发现违反上述规定，每次扣1分，第2点除外）</w:t>
            </w:r>
          </w:p>
        </w:tc>
        <w:tc>
          <w:tcPr>
            <w:tcW w:w="635" w:type="dxa"/>
            <w:vAlign w:val="center"/>
          </w:tcPr>
          <w:p>
            <w:pPr>
              <w:widowControl w:val="0"/>
              <w:ind w:firstLine="281"/>
              <w:jc w:val="center"/>
              <w:rPr>
                <w:rFonts w:ascii="仿宋_GB2312" w:hAnsi="宋体" w:eastAsia="仿宋_GB2312" w:cs="Courier New"/>
                <w:szCs w:val="21"/>
              </w:rPr>
            </w:pPr>
            <w:r>
              <w:rPr>
                <w:rFonts w:hint="eastAsia" w:ascii="仿宋_GB2312" w:hAnsi="宋体" w:eastAsia="仿宋_GB2312" w:cs="Courier New"/>
                <w:szCs w:val="21"/>
              </w:rPr>
              <w:t>5</w:t>
            </w:r>
          </w:p>
        </w:tc>
        <w:tc>
          <w:tcPr>
            <w:tcW w:w="709" w:type="dxa"/>
          </w:tcPr>
          <w:p>
            <w:pPr>
              <w:widowControl w:val="0"/>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1101" w:type="dxa"/>
            <w:vMerge w:val="restart"/>
          </w:tcPr>
          <w:p>
            <w:pPr>
              <w:pStyle w:val="14"/>
              <w:tabs>
                <w:tab w:val="left" w:pos="2340"/>
              </w:tabs>
              <w:adjustRightInd w:val="0"/>
              <w:snapToGrid w:val="0"/>
              <w:rPr>
                <w:rFonts w:ascii="仿宋_GB2312" w:hAnsi="宋体" w:eastAsia="仿宋_GB2312"/>
              </w:rPr>
            </w:pPr>
            <w:r>
              <w:rPr>
                <w:rFonts w:hint="eastAsia" w:ascii="仿宋_GB2312" w:hAnsi="宋体" w:eastAsia="仿宋_GB2312"/>
              </w:rPr>
              <w:t>质量标准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（55）</w:t>
            </w:r>
          </w:p>
        </w:tc>
        <w:tc>
          <w:tcPr>
            <w:tcW w:w="1134"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出品质量</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1.早餐、中餐、晚餐、夜餐菜式每少1款，每次每款扣1分。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2.应每月推出6款菜式，每少一款扣2分。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3.应每周按规定更换菜单，如延迟、无更换，每次扣5分。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4.菜品应不糊、不夹生，软硬适当，如出现过熟、过火、过硬等现象，每次扣1分。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5.菜品不得出现未熟、半熟、未熟透等现象，如出现上述情况每次扣1分。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6.菜品应色香味俱全，原料新鲜。尤其是海鲜菜肴，口味避免过重，不能用调料、大料的味道压住食材本身的味道。如该菜式有5人或以上反馈口味避免过重（如过咸、过辣、过酸、过甜、过苦更不允许有异味腥、膻、臭味等），每次扣2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7.严格控制松肉粉、食粉的用量。严禁使用亚硝酸钠等化学原料，每次发现扣5分。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8.根据原料性质、菜品要求将原料切出规则的形状并且要均匀一致，如有同一种类原材料切配后重量差异超过50%或以上，每次扣1分。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9.青菜应先洗后切，洗前要浸泡30分钟，如发现违规操作，每次扣1分。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10.杜绝使用腐烂、变质的食材原料，如发现违规操作，每次扣10分。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11.食品存在变质异味情况，每次扣10分。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12.应保证病人餐的出品质量，菜单每月变动一次，提交医院审核后方可执行，如发现违规操作，每次扣2分。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13.应保证病人餐菜式搭配绿色健康，需提供重口味、谈口味、蒸菜、蒸蛋、辣菜、炒菜等供选择，如发现未按规定提供，每次扣1分。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14.应保证病人餐每餐提供流质、半流质、糖尿病饮食、无盐餐、高蛋白质餐等特殊餐饮需求服务（特殊餐饮服务根据医院临床患者的需求变动而变动）。如发现未按规定提供，每次扣5分。</w:t>
            </w:r>
          </w:p>
        </w:tc>
        <w:tc>
          <w:tcPr>
            <w:tcW w:w="635" w:type="dxa"/>
            <w:vAlign w:val="center"/>
          </w:tcPr>
          <w:p>
            <w:pPr>
              <w:widowControl w:val="0"/>
              <w:jc w:val="center"/>
              <w:rPr>
                <w:rFonts w:ascii="仿宋" w:hAnsi="仿宋" w:eastAsia="仿宋" w:cs="仿宋"/>
              </w:rPr>
            </w:pPr>
            <w:r>
              <w:rPr>
                <w:rFonts w:hint="eastAsia" w:ascii="仿宋_GB2312" w:hAnsi="宋体" w:eastAsia="仿宋_GB2312" w:cs="Courier New"/>
                <w:szCs w:val="21"/>
              </w:rPr>
              <w:t>35</w:t>
            </w:r>
          </w:p>
        </w:tc>
        <w:tc>
          <w:tcPr>
            <w:tcW w:w="709" w:type="dxa"/>
          </w:tcPr>
          <w:p>
            <w:pPr>
              <w:widowControl w:val="0"/>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101" w:type="dxa"/>
            <w:vMerge w:val="continue"/>
          </w:tcPr>
          <w:p>
            <w:pPr>
              <w:pStyle w:val="14"/>
              <w:tabs>
                <w:tab w:val="left" w:pos="2340"/>
              </w:tabs>
              <w:adjustRightInd w:val="0"/>
              <w:snapToGrid w:val="0"/>
              <w:rPr>
                <w:rFonts w:ascii="仿宋_GB2312" w:hAnsi="宋体" w:eastAsia="仿宋_GB2312"/>
              </w:rPr>
            </w:pPr>
          </w:p>
        </w:tc>
        <w:tc>
          <w:tcPr>
            <w:tcW w:w="1134"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服务质量</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1.应保证配餐准时，并按在规定时间内完成配餐（包括职工餐与病人餐），如有延时每次扣2分，如有漏送每次扣2分。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2.有召回、中毒应急管理制度并符合相关要求，如明知食品有问题仍出餐或出餐后无召回，每次扣20分。并处以2000元以上50000元以下罚款。</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3.接待餐服务应提供不低于5星级酒店的服务标准，并安排专人接待，如发现违规操作，每次扣2分。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4.应承担微信公众号宣传工作、餐卡收费系统与订餐系统的管理工作等服务，如发现违规操作，每次扣5分</w:t>
            </w:r>
          </w:p>
        </w:tc>
        <w:tc>
          <w:tcPr>
            <w:tcW w:w="635" w:type="dxa"/>
            <w:vAlign w:val="center"/>
          </w:tcPr>
          <w:p>
            <w:pPr>
              <w:widowControl w:val="0"/>
              <w:tabs>
                <w:tab w:val="left" w:pos="613"/>
              </w:tabs>
              <w:jc w:val="center"/>
              <w:rPr>
                <w:rFonts w:ascii="仿宋" w:hAnsi="仿宋" w:eastAsia="仿宋" w:cs="仿宋"/>
              </w:rPr>
            </w:pPr>
            <w:r>
              <w:rPr>
                <w:rFonts w:hint="eastAsia" w:ascii="仿宋_GB2312" w:hAnsi="宋体" w:eastAsia="仿宋_GB2312" w:cs="Courier New"/>
                <w:szCs w:val="21"/>
              </w:rPr>
              <w:t>20</w:t>
            </w:r>
          </w:p>
        </w:tc>
        <w:tc>
          <w:tcPr>
            <w:tcW w:w="709" w:type="dxa"/>
          </w:tcPr>
          <w:p>
            <w:pPr>
              <w:widowControl w:val="0"/>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1101"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日常运营评价</w:t>
            </w:r>
          </w:p>
          <w:p>
            <w:pPr>
              <w:pStyle w:val="14"/>
              <w:tabs>
                <w:tab w:val="left" w:pos="2340"/>
              </w:tabs>
              <w:adjustRightInd w:val="0"/>
              <w:snapToGrid w:val="0"/>
              <w:rPr>
                <w:rFonts w:ascii="仿宋_GB2312" w:hAnsi="宋体" w:eastAsia="仿宋_GB2312"/>
              </w:rPr>
            </w:pPr>
            <w:r>
              <w:rPr>
                <w:rFonts w:hint="eastAsia" w:ascii="仿宋_GB2312" w:hAnsi="宋体" w:eastAsia="仿宋_GB2312"/>
              </w:rPr>
              <w:t>（15）</w:t>
            </w:r>
          </w:p>
          <w:p>
            <w:pPr>
              <w:pStyle w:val="14"/>
              <w:tabs>
                <w:tab w:val="left" w:pos="2340"/>
              </w:tabs>
              <w:adjustRightInd w:val="0"/>
              <w:snapToGrid w:val="0"/>
              <w:rPr>
                <w:rFonts w:ascii="仿宋_GB2312" w:hAnsi="宋体" w:eastAsia="仿宋_GB2312"/>
              </w:rPr>
            </w:pPr>
          </w:p>
        </w:tc>
        <w:tc>
          <w:tcPr>
            <w:tcW w:w="1134"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关键岗位</w:t>
            </w:r>
          </w:p>
          <w:p>
            <w:pPr>
              <w:pStyle w:val="14"/>
              <w:tabs>
                <w:tab w:val="left" w:pos="2340"/>
              </w:tabs>
              <w:adjustRightInd w:val="0"/>
              <w:snapToGrid w:val="0"/>
              <w:rPr>
                <w:rFonts w:ascii="仿宋_GB2312" w:hAnsi="宋体" w:eastAsia="仿宋_GB2312"/>
              </w:rPr>
            </w:pPr>
            <w:r>
              <w:rPr>
                <w:rFonts w:hint="eastAsia" w:ascii="仿宋_GB2312" w:hAnsi="宋体" w:eastAsia="仿宋_GB2312"/>
              </w:rPr>
              <w:t>考核评价</w:t>
            </w:r>
          </w:p>
        </w:tc>
        <w:tc>
          <w:tcPr>
            <w:tcW w:w="5318" w:type="dxa"/>
          </w:tcPr>
          <w:p>
            <w:pPr>
              <w:pStyle w:val="14"/>
              <w:tabs>
                <w:tab w:val="left" w:pos="2340"/>
              </w:tabs>
              <w:adjustRightInd w:val="0"/>
              <w:snapToGrid w:val="0"/>
              <w:rPr>
                <w:rFonts w:ascii="仿宋_GB2312" w:hAnsi="宋体" w:eastAsia="仿宋_GB2312"/>
              </w:rPr>
            </w:pPr>
            <w:r>
              <w:rPr>
                <w:rFonts w:hint="eastAsia" w:ascii="仿宋_GB2312" w:hAnsi="宋体" w:eastAsia="仿宋_GB2312"/>
              </w:rPr>
              <w:t>1.对项目经理工作情况的评价：及时协助处理员工就餐反馈的投诉和建议并能给出相关的整改优化方案及进度；积极配合各项工作开展，例如运营细节、改造、维保、行业交流等。</w:t>
            </w:r>
          </w:p>
          <w:p>
            <w:pPr>
              <w:pStyle w:val="14"/>
              <w:tabs>
                <w:tab w:val="left" w:pos="2340"/>
              </w:tabs>
              <w:adjustRightInd w:val="0"/>
              <w:snapToGrid w:val="0"/>
              <w:rPr>
                <w:rFonts w:ascii="仿宋_GB2312" w:hAnsi="宋体" w:eastAsia="仿宋_GB2312"/>
              </w:rPr>
            </w:pPr>
            <w:r>
              <w:rPr>
                <w:rFonts w:hint="eastAsia" w:ascii="仿宋_GB2312" w:hAnsi="宋体" w:eastAsia="仿宋_GB2312"/>
              </w:rPr>
              <w:t>2.对主管工作情况的评价：能全面有效管理现场各项工作，包括日常运营工作、现场食品安全、消防安全、人员管理和各项培训等；能及时处理就餐人反馈的投诉和建议并跟进到位。</w:t>
            </w:r>
          </w:p>
          <w:p>
            <w:pPr>
              <w:pStyle w:val="14"/>
              <w:tabs>
                <w:tab w:val="left" w:pos="2340"/>
              </w:tabs>
              <w:adjustRightInd w:val="0"/>
              <w:snapToGrid w:val="0"/>
              <w:rPr>
                <w:rFonts w:ascii="仿宋_GB2312" w:hAnsi="宋体" w:eastAsia="仿宋_GB2312"/>
              </w:rPr>
            </w:pPr>
            <w:r>
              <w:rPr>
                <w:rFonts w:hint="eastAsia" w:ascii="仿宋_GB2312" w:hAnsi="宋体" w:eastAsia="仿宋_GB2312"/>
              </w:rPr>
              <w:t>3.对厨师长工作情况的评价：应保证出品质量、菜品搭配，提供热菜、凉菜、主食、汤，并提供豆浆、点心、水果等，需要兼顾南北方口味等8大菜系，以粤菜为主，其余菜系为辅，当天午餐与晚餐的菜单不得重复，并每月推出不少于6-10个以上品种的菜式。</w:t>
            </w:r>
          </w:p>
          <w:p>
            <w:pPr>
              <w:pStyle w:val="14"/>
              <w:tabs>
                <w:tab w:val="left" w:pos="2340"/>
              </w:tabs>
              <w:adjustRightInd w:val="0"/>
              <w:snapToGrid w:val="0"/>
              <w:rPr>
                <w:rFonts w:ascii="仿宋_GB2312" w:hAnsi="宋体" w:eastAsia="仿宋_GB2312"/>
              </w:rPr>
            </w:pPr>
            <w:r>
              <w:rPr>
                <w:rFonts w:hint="eastAsia" w:ascii="仿宋_GB2312" w:hAnsi="宋体" w:eastAsia="仿宋_GB2312"/>
              </w:rPr>
              <w:t>4.对点心组长工作情况的评价：应保证出品质量、菜品搭配，以手工制作为主，兼顾南北方面点、中西方点心，并每月推出不少于2个品种新点心菜式。</w:t>
            </w:r>
          </w:p>
          <w:p>
            <w:pPr>
              <w:pStyle w:val="14"/>
              <w:tabs>
                <w:tab w:val="left" w:pos="2340"/>
              </w:tabs>
              <w:adjustRightInd w:val="0"/>
              <w:snapToGrid w:val="0"/>
              <w:rPr>
                <w:rFonts w:ascii="仿宋_GB2312" w:hAnsi="宋体" w:eastAsia="仿宋_GB2312"/>
              </w:rPr>
            </w:pPr>
            <w:r>
              <w:rPr>
                <w:rFonts w:hint="eastAsia" w:ascii="仿宋_GB2312" w:hAnsi="宋体" w:eastAsia="仿宋_GB2312"/>
              </w:rPr>
              <w:t>5.对配餐班长工作情况的评价：监督服务员是否做好所有开餐准备工作，做到菜式、人员、价格三齐全；监督餐厅餐桌、地面卫生情况及垃圾分类情况；开餐前巡场，空调、灯光的开启及设备用具等是否到位确认，随时发现和解决问题。</w:t>
            </w:r>
          </w:p>
          <w:p>
            <w:pPr>
              <w:pStyle w:val="14"/>
              <w:tabs>
                <w:tab w:val="left" w:pos="2340"/>
              </w:tabs>
              <w:adjustRightInd w:val="0"/>
              <w:snapToGrid w:val="0"/>
              <w:rPr>
                <w:rFonts w:ascii="仿宋_GB2312" w:hAnsi="宋体" w:eastAsia="仿宋_GB2312"/>
              </w:rPr>
            </w:pPr>
            <w:r>
              <w:rPr>
                <w:rFonts w:hint="eastAsia" w:ascii="仿宋_GB2312" w:hAnsi="宋体" w:eastAsia="仿宋_GB2312"/>
              </w:rPr>
              <w:t>6.对食品安全管理员工作情况的评价：监督现场食品安全相关工作，包括食品质量、食品索证索票、人员操作规范、个人卫生、环境及设备卫生、记录台账等管理。</w:t>
            </w:r>
          </w:p>
          <w:p>
            <w:pPr>
              <w:pStyle w:val="14"/>
              <w:tabs>
                <w:tab w:val="left" w:pos="2340"/>
              </w:tabs>
              <w:adjustRightInd w:val="0"/>
              <w:snapToGrid w:val="0"/>
              <w:rPr>
                <w:rFonts w:ascii="仿宋_GB2312" w:hAnsi="宋体" w:eastAsia="仿宋_GB2312"/>
              </w:rPr>
            </w:pPr>
            <w:r>
              <w:rPr>
                <w:rFonts w:hint="eastAsia" w:ascii="仿宋_GB2312" w:hAnsi="宋体" w:eastAsia="仿宋_GB2312"/>
              </w:rPr>
              <w:t>（上述各人员评价为优秀的得5分，良好的得4分，较好的得3分，一般的得2分，合格的得1分，较差或差或不合格的得0分）</w:t>
            </w:r>
          </w:p>
        </w:tc>
        <w:tc>
          <w:tcPr>
            <w:tcW w:w="635" w:type="dxa"/>
            <w:vAlign w:val="center"/>
          </w:tcPr>
          <w:p>
            <w:pPr>
              <w:widowControl w:val="0"/>
              <w:jc w:val="center"/>
              <w:rPr>
                <w:rFonts w:ascii="仿宋_GB2312" w:hAnsi="宋体" w:eastAsia="仿宋_GB2312" w:cs="Courier New"/>
                <w:szCs w:val="21"/>
              </w:rPr>
            </w:pPr>
            <w:r>
              <w:rPr>
                <w:rFonts w:hint="eastAsia" w:ascii="仿宋_GB2312" w:hAnsi="宋体" w:eastAsia="仿宋_GB2312" w:cs="Courier New"/>
                <w:szCs w:val="21"/>
              </w:rPr>
              <w:t>15</w:t>
            </w:r>
          </w:p>
        </w:tc>
        <w:tc>
          <w:tcPr>
            <w:tcW w:w="709" w:type="dxa"/>
          </w:tcPr>
          <w:p>
            <w:pPr>
              <w:widowControl w:val="0"/>
              <w:jc w:val="center"/>
              <w:rPr>
                <w:rFonts w:ascii="仿宋" w:hAnsi="仿宋" w:eastAsia="仿宋" w:cs="仿宋"/>
                <w:sz w:val="24"/>
              </w:rPr>
            </w:pPr>
          </w:p>
        </w:tc>
      </w:tr>
    </w:tbl>
    <w:p>
      <w:pPr>
        <w:tabs>
          <w:tab w:val="left" w:pos="319"/>
        </w:tabs>
        <w:rPr>
          <w:rFonts w:ascii="仿宋" w:hAnsi="仿宋" w:eastAsia="仿宋"/>
          <w:sz w:val="24"/>
        </w:rPr>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pStyle w:val="2"/>
        <w:ind w:firstLine="400"/>
      </w:pPr>
    </w:p>
    <w:p>
      <w:pPr>
        <w:rPr>
          <w:rFonts w:ascii="仿宋" w:hAnsi="仿宋" w:eastAsia="仿宋" w:cs="仿宋"/>
          <w:b/>
          <w:sz w:val="28"/>
          <w:szCs w:val="28"/>
        </w:rPr>
      </w:pPr>
      <w:r>
        <w:rPr>
          <w:rFonts w:hint="eastAsia" w:ascii="仿宋" w:hAnsi="仿宋" w:eastAsia="仿宋" w:cs="仿宋"/>
          <w:b/>
          <w:sz w:val="28"/>
          <w:szCs w:val="28"/>
        </w:rPr>
        <w:t>附件2</w:t>
      </w:r>
    </w:p>
    <w:p>
      <w:pPr>
        <w:ind w:firstLine="562" w:firstLineChars="200"/>
        <w:jc w:val="center"/>
        <w:rPr>
          <w:rFonts w:ascii="仿宋" w:hAnsi="仿宋" w:eastAsia="仿宋" w:cs="仿宋"/>
          <w:b/>
          <w:sz w:val="28"/>
          <w:szCs w:val="28"/>
        </w:rPr>
      </w:pPr>
      <w:r>
        <w:rPr>
          <w:rFonts w:hint="eastAsia" w:ascii="仿宋" w:hAnsi="仿宋" w:eastAsia="仿宋" w:cs="仿宋"/>
          <w:b/>
          <w:sz w:val="28"/>
          <w:szCs w:val="28"/>
        </w:rPr>
        <w:t>中山大学附属第六医院（知识城院区）</w:t>
      </w:r>
    </w:p>
    <w:p>
      <w:pPr>
        <w:ind w:firstLine="562" w:firstLineChars="200"/>
        <w:jc w:val="center"/>
        <w:rPr>
          <w:rFonts w:ascii="仿宋" w:hAnsi="仿宋" w:eastAsia="仿宋" w:cs="仿宋"/>
          <w:b/>
          <w:sz w:val="28"/>
          <w:szCs w:val="28"/>
        </w:rPr>
      </w:pPr>
      <w:r>
        <w:rPr>
          <w:rFonts w:hint="eastAsia" w:ascii="仿宋" w:hAnsi="仿宋" w:eastAsia="仿宋" w:cs="仿宋"/>
          <w:b/>
          <w:sz w:val="28"/>
          <w:szCs w:val="28"/>
        </w:rPr>
        <w:t>餐饮服务满意度调查表</w:t>
      </w:r>
    </w:p>
    <w:tbl>
      <w:tblPr>
        <w:tblStyle w:val="23"/>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1"/>
        <w:gridCol w:w="596"/>
        <w:gridCol w:w="460"/>
        <w:gridCol w:w="460"/>
        <w:gridCol w:w="460"/>
        <w:gridCol w:w="460"/>
        <w:gridCol w:w="460"/>
        <w:gridCol w:w="460"/>
        <w:gridCol w:w="460"/>
        <w:gridCol w:w="460"/>
        <w:gridCol w:w="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41" w:type="dxa"/>
            <w:vMerge w:val="restart"/>
            <w:vAlign w:val="center"/>
          </w:tcPr>
          <w:p>
            <w:pPr>
              <w:spacing w:line="360" w:lineRule="auto"/>
              <w:ind w:firstLine="1400" w:firstLineChars="700"/>
              <w:rPr>
                <w:rFonts w:ascii="仿宋" w:hAnsi="仿宋" w:eastAsia="仿宋" w:cs="仿宋"/>
                <w:szCs w:val="21"/>
              </w:rPr>
            </w:pPr>
            <w:r>
              <w:rPr>
                <w:rFonts w:hint="eastAsia" w:ascii="仿宋" w:hAnsi="仿宋" w:eastAsia="仿宋" w:cs="仿宋"/>
                <w:szCs w:val="21"/>
              </w:rPr>
              <w:t>项       目</w:t>
            </w:r>
          </w:p>
        </w:tc>
        <w:tc>
          <w:tcPr>
            <w:tcW w:w="4738" w:type="dxa"/>
            <w:gridSpan w:val="10"/>
          </w:tcPr>
          <w:p>
            <w:pPr>
              <w:spacing w:line="360" w:lineRule="auto"/>
              <w:ind w:firstLine="100" w:firstLineChars="50"/>
              <w:jc w:val="center"/>
              <w:rPr>
                <w:rFonts w:ascii="仿宋" w:hAnsi="仿宋" w:eastAsia="仿宋" w:cs="仿宋"/>
                <w:szCs w:val="21"/>
              </w:rPr>
            </w:pPr>
            <w:r>
              <w:rPr>
                <w:rFonts w:hint="eastAsia" w:ascii="仿宋" w:hAnsi="仿宋" w:eastAsia="仿宋" w:cs="仿宋"/>
                <w:szCs w:val="21"/>
              </w:rPr>
              <w:t>满意               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41" w:type="dxa"/>
            <w:vMerge w:val="continue"/>
            <w:vAlign w:val="center"/>
          </w:tcPr>
          <w:p>
            <w:pPr>
              <w:spacing w:line="360" w:lineRule="auto"/>
              <w:rPr>
                <w:rFonts w:ascii="仿宋" w:hAnsi="仿宋" w:eastAsia="仿宋" w:cs="仿宋"/>
                <w:szCs w:val="21"/>
              </w:rPr>
            </w:pPr>
          </w:p>
        </w:tc>
        <w:tc>
          <w:tcPr>
            <w:tcW w:w="596" w:type="dxa"/>
          </w:tcPr>
          <w:p>
            <w:pPr>
              <w:spacing w:line="360" w:lineRule="auto"/>
              <w:jc w:val="center"/>
              <w:rPr>
                <w:rFonts w:ascii="仿宋" w:hAnsi="仿宋" w:eastAsia="仿宋" w:cs="仿宋"/>
                <w:szCs w:val="21"/>
              </w:rPr>
            </w:pPr>
            <w:r>
              <w:rPr>
                <w:rFonts w:hint="eastAsia" w:ascii="仿宋" w:hAnsi="仿宋" w:eastAsia="仿宋" w:cs="仿宋"/>
                <w:szCs w:val="21"/>
              </w:rPr>
              <w:t>10</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9</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8</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7</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6</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5</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4</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3</w:t>
            </w:r>
          </w:p>
        </w:tc>
        <w:tc>
          <w:tcPr>
            <w:tcW w:w="460" w:type="dxa"/>
          </w:tcPr>
          <w:p>
            <w:pPr>
              <w:spacing w:line="360" w:lineRule="auto"/>
              <w:jc w:val="center"/>
              <w:rPr>
                <w:rFonts w:ascii="仿宋" w:hAnsi="仿宋" w:eastAsia="仿宋" w:cs="仿宋"/>
                <w:szCs w:val="21"/>
              </w:rPr>
            </w:pPr>
            <w:r>
              <w:rPr>
                <w:rFonts w:hint="eastAsia" w:ascii="仿宋" w:hAnsi="仿宋" w:eastAsia="仿宋" w:cs="仿宋"/>
                <w:szCs w:val="21"/>
              </w:rPr>
              <w:t>2</w:t>
            </w:r>
          </w:p>
        </w:tc>
        <w:tc>
          <w:tcPr>
            <w:tcW w:w="462" w:type="dxa"/>
          </w:tcPr>
          <w:p>
            <w:pPr>
              <w:spacing w:line="360" w:lineRule="auto"/>
              <w:jc w:val="center"/>
              <w:rPr>
                <w:rFonts w:ascii="仿宋" w:hAnsi="仿宋" w:eastAsia="仿宋" w:cs="仿宋"/>
                <w:szCs w:val="21"/>
              </w:rPr>
            </w:pPr>
            <w:r>
              <w:rPr>
                <w:rFonts w:hint="eastAsia" w:ascii="仿宋" w:hAnsi="仿宋" w:eastAsia="仿宋" w:cs="仿宋"/>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spacing w:line="360" w:lineRule="auto"/>
              <w:rPr>
                <w:rFonts w:ascii="仿宋" w:hAnsi="仿宋" w:eastAsia="仿宋" w:cs="仿宋"/>
                <w:szCs w:val="21"/>
              </w:rPr>
            </w:pPr>
            <w:r>
              <w:rPr>
                <w:rFonts w:hint="eastAsia" w:ascii="仿宋" w:hAnsi="仿宋" w:eastAsia="仿宋" w:cs="仿宋"/>
                <w:szCs w:val="21"/>
              </w:rPr>
              <w:t>1、对食堂工作人员的服务态度评价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对餐厅的环境卫生情况评价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对提供餐具卫生状况的评价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对供应的菜式种类及更新评价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对膳食供应的营养搭配评价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对餐品送达准时性的评价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对膳食的饭菜制作质量及味道的评价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对供应餐品的份量的评价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widowControl w:val="0"/>
              <w:numPr>
                <w:ilvl w:val="0"/>
                <w:numId w:val="6"/>
              </w:numPr>
              <w:spacing w:line="360" w:lineRule="auto"/>
              <w:jc w:val="both"/>
              <w:rPr>
                <w:rFonts w:ascii="仿宋" w:hAnsi="仿宋" w:eastAsia="仿宋" w:cs="仿宋"/>
                <w:szCs w:val="21"/>
              </w:rPr>
            </w:pPr>
            <w:r>
              <w:rPr>
                <w:rFonts w:hint="eastAsia" w:ascii="仿宋" w:hAnsi="仿宋" w:eastAsia="仿宋" w:cs="仿宋"/>
                <w:szCs w:val="21"/>
              </w:rPr>
              <w:t>对餐品价格的评价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041" w:type="dxa"/>
            <w:vAlign w:val="center"/>
          </w:tcPr>
          <w:p>
            <w:pPr>
              <w:spacing w:line="360" w:lineRule="auto"/>
              <w:rPr>
                <w:rFonts w:ascii="仿宋" w:hAnsi="仿宋" w:eastAsia="仿宋" w:cs="仿宋"/>
                <w:szCs w:val="21"/>
              </w:rPr>
            </w:pPr>
            <w:r>
              <w:rPr>
                <w:rFonts w:hint="eastAsia" w:ascii="仿宋" w:hAnsi="仿宋" w:eastAsia="仿宋" w:cs="仿宋"/>
                <w:szCs w:val="21"/>
              </w:rPr>
              <w:t>10、对投诉处理反应及时性的评价</w:t>
            </w:r>
          </w:p>
        </w:tc>
        <w:tc>
          <w:tcPr>
            <w:tcW w:w="596"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0" w:type="dxa"/>
          </w:tcPr>
          <w:p>
            <w:pPr>
              <w:spacing w:line="360" w:lineRule="auto"/>
              <w:rPr>
                <w:rFonts w:ascii="仿宋" w:hAnsi="仿宋" w:eastAsia="仿宋" w:cs="仿宋"/>
                <w:szCs w:val="21"/>
              </w:rPr>
            </w:pPr>
          </w:p>
        </w:tc>
        <w:tc>
          <w:tcPr>
            <w:tcW w:w="462" w:type="dxa"/>
          </w:tcPr>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8" w:hRule="atLeast"/>
          <w:jc w:val="center"/>
        </w:trPr>
        <w:tc>
          <w:tcPr>
            <w:tcW w:w="8779" w:type="dxa"/>
            <w:gridSpan w:val="11"/>
            <w:vAlign w:val="center"/>
          </w:tcPr>
          <w:p>
            <w:pPr>
              <w:spacing w:line="360" w:lineRule="auto"/>
              <w:rPr>
                <w:rFonts w:ascii="仿宋" w:hAnsi="仿宋" w:eastAsia="仿宋" w:cs="仿宋"/>
                <w:szCs w:val="21"/>
                <w:u w:val="single"/>
              </w:rPr>
            </w:pPr>
            <w:r>
              <w:rPr>
                <w:rFonts w:hint="eastAsia" w:ascii="仿宋" w:hAnsi="仿宋" w:eastAsia="仿宋" w:cs="仿宋"/>
                <w:szCs w:val="21"/>
              </w:rPr>
              <w:t>您的建议：</w:t>
            </w:r>
          </w:p>
          <w:p>
            <w:pPr>
              <w:spacing w:line="360" w:lineRule="auto"/>
              <w:rPr>
                <w:rFonts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spacing w:line="360" w:lineRule="auto"/>
              <w:rPr>
                <w:rFonts w:ascii="仿宋" w:hAnsi="仿宋" w:eastAsia="仿宋" w:cs="仿宋"/>
                <w:szCs w:val="21"/>
              </w:rPr>
            </w:pPr>
            <w:r>
              <w:rPr>
                <w:rFonts w:hint="eastAsia" w:ascii="仿宋" w:hAnsi="仿宋" w:eastAsia="仿宋" w:cs="仿宋"/>
                <w:szCs w:val="21"/>
              </w:rPr>
              <w:t xml:space="preserve">                                                               </w:t>
            </w:r>
          </w:p>
        </w:tc>
      </w:tr>
    </w:tbl>
    <w:p>
      <w:pPr>
        <w:spacing w:line="360" w:lineRule="auto"/>
        <w:rPr>
          <w:rFonts w:ascii="仿宋" w:hAnsi="仿宋" w:eastAsia="仿宋" w:cs="仿宋"/>
          <w:szCs w:val="21"/>
        </w:rPr>
      </w:pPr>
      <w:r>
        <w:rPr>
          <w:rFonts w:hint="eastAsia" w:ascii="仿宋" w:hAnsi="仿宋" w:eastAsia="仿宋" w:cs="仿宋"/>
          <w:szCs w:val="21"/>
        </w:rPr>
        <w:t xml:space="preserve"> 注：医院可以对调查问卷项目的内容进行修改或更换。</w:t>
      </w:r>
    </w:p>
    <w:p>
      <w:pPr>
        <w:rPr>
          <w:rFonts w:ascii="仿宋" w:hAnsi="仿宋" w:eastAsia="仿宋" w:cs="仿宋"/>
        </w:rPr>
      </w:pP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pPr>
        <w:rPr>
          <w:rFonts w:ascii="仿宋" w:hAnsi="仿宋" w:eastAsia="仿宋" w:cs="仿宋"/>
          <w:b/>
          <w:sz w:val="28"/>
          <w:szCs w:val="28"/>
        </w:rPr>
      </w:pPr>
    </w:p>
    <w:p/>
    <w:sectPr>
      <w:footerReference r:id="rId3" w:type="default"/>
      <w:footerReference r:id="rId4" w:type="even"/>
      <w:pgSz w:w="11906" w:h="16838"/>
      <w:pgMar w:top="935" w:right="1797" w:bottom="1091" w:left="1400" w:header="851" w:footer="59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y="1"/>
      <w:rPr>
        <w:rStyle w:val="26"/>
      </w:rPr>
    </w:pPr>
    <w:r>
      <w:fldChar w:fldCharType="begin"/>
    </w:r>
    <w:r>
      <w:rPr>
        <w:rStyle w:val="26"/>
      </w:rPr>
      <w:instrText xml:space="preserve">PAGE  </w:instrText>
    </w:r>
    <w:r>
      <w:fldChar w:fldCharType="separate"/>
    </w:r>
    <w:r>
      <w:rPr>
        <w:rStyle w:val="26"/>
      </w:rPr>
      <w:t>14</w:t>
    </w:r>
    <w:r>
      <w:fldChar w:fldCharType="end"/>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y="1"/>
      <w:rPr>
        <w:rStyle w:val="26"/>
      </w:rPr>
    </w:pPr>
    <w:r>
      <w:fldChar w:fldCharType="begin"/>
    </w:r>
    <w:r>
      <w:rPr>
        <w:rStyle w:val="26"/>
      </w:rPr>
      <w:instrText xml:space="preserve">PAGE  </w:instrText>
    </w:r>
    <w:r>
      <w:fldChar w:fldCharType="separate"/>
    </w:r>
    <w:r>
      <w:rPr>
        <w:rStyle w:val="26"/>
      </w:rPr>
      <w:t>11</w:t>
    </w:r>
    <w:r>
      <w:fldChar w:fldCharType="end"/>
    </w:r>
  </w:p>
  <w:p>
    <w:pPr>
      <w:pStyle w:val="17"/>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59A72E"/>
    <w:multiLevelType w:val="singleLevel"/>
    <w:tmpl w:val="F159A72E"/>
    <w:lvl w:ilvl="0" w:tentative="0">
      <w:start w:val="1"/>
      <w:numFmt w:val="decimal"/>
      <w:suff w:val="nothing"/>
      <w:lvlText w:val="%1、"/>
      <w:lvlJc w:val="left"/>
    </w:lvl>
  </w:abstractNum>
  <w:abstractNum w:abstractNumId="1">
    <w:nsid w:val="F66B349D"/>
    <w:multiLevelType w:val="singleLevel"/>
    <w:tmpl w:val="F66B349D"/>
    <w:lvl w:ilvl="0" w:tentative="0">
      <w:start w:val="1"/>
      <w:numFmt w:val="chineseCounting"/>
      <w:suff w:val="nothing"/>
      <w:lvlText w:val="%1、"/>
      <w:lvlJc w:val="left"/>
      <w:pPr>
        <w:ind w:left="568" w:firstLine="0"/>
      </w:pPr>
      <w:rPr>
        <w:rFonts w:hint="eastAsia"/>
      </w:rPr>
    </w:lvl>
  </w:abstractNum>
  <w:abstractNum w:abstractNumId="2">
    <w:nsid w:val="0000000B"/>
    <w:multiLevelType w:val="singleLevel"/>
    <w:tmpl w:val="0000000B"/>
    <w:lvl w:ilvl="0" w:tentative="0">
      <w:start w:val="1"/>
      <w:numFmt w:val="bullet"/>
      <w:pStyle w:val="49"/>
      <w:lvlText w:val=""/>
      <w:lvlJc w:val="left"/>
      <w:pPr>
        <w:tabs>
          <w:tab w:val="left" w:pos="360"/>
        </w:tabs>
        <w:ind w:left="245" w:hanging="245"/>
      </w:pPr>
      <w:rPr>
        <w:rFonts w:hint="default" w:ascii="Wingdings" w:hAnsi="Wingdings"/>
      </w:rPr>
    </w:lvl>
  </w:abstractNum>
  <w:abstractNum w:abstractNumId="3">
    <w:nsid w:val="107A3E18"/>
    <w:multiLevelType w:val="multilevel"/>
    <w:tmpl w:val="107A3E18"/>
    <w:lvl w:ilvl="0" w:tentative="0">
      <w:start w:val="1"/>
      <w:numFmt w:val="decimalEnclosedCircle"/>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4DEB3ACD"/>
    <w:multiLevelType w:val="singleLevel"/>
    <w:tmpl w:val="4DEB3ACD"/>
    <w:lvl w:ilvl="0" w:tentative="0">
      <w:start w:val="1"/>
      <w:numFmt w:val="decimal"/>
      <w:suff w:val="nothing"/>
      <w:lvlText w:val="%1、"/>
      <w:lvlJc w:val="left"/>
    </w:lvl>
  </w:abstractNum>
  <w:abstractNum w:abstractNumId="5">
    <w:nsid w:val="76BA14CA"/>
    <w:multiLevelType w:val="multilevel"/>
    <w:tmpl w:val="76BA14CA"/>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31E"/>
    <w:rsid w:val="001E3E3A"/>
    <w:rsid w:val="001E5DE1"/>
    <w:rsid w:val="001F4930"/>
    <w:rsid w:val="001F5ED5"/>
    <w:rsid w:val="002529D2"/>
    <w:rsid w:val="00312C3A"/>
    <w:rsid w:val="003210DC"/>
    <w:rsid w:val="00332DA3"/>
    <w:rsid w:val="004465F1"/>
    <w:rsid w:val="004773CE"/>
    <w:rsid w:val="004A13E0"/>
    <w:rsid w:val="005B331E"/>
    <w:rsid w:val="005E500E"/>
    <w:rsid w:val="00625663"/>
    <w:rsid w:val="006300E1"/>
    <w:rsid w:val="007A337B"/>
    <w:rsid w:val="007F4307"/>
    <w:rsid w:val="0082455D"/>
    <w:rsid w:val="009E43CA"/>
    <w:rsid w:val="009F6BE4"/>
    <w:rsid w:val="00AA74E1"/>
    <w:rsid w:val="00BC4D8D"/>
    <w:rsid w:val="00C16793"/>
    <w:rsid w:val="00C267C5"/>
    <w:rsid w:val="00F60329"/>
    <w:rsid w:val="00F70EF7"/>
    <w:rsid w:val="00FB5AB8"/>
    <w:rsid w:val="73822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qFormat="1"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Arial" w:hAnsi="Arial" w:eastAsia="宋体" w:cs="Times New Roman"/>
      <w:kern w:val="0"/>
      <w:sz w:val="20"/>
      <w:szCs w:val="20"/>
      <w:lang w:val="en-US" w:eastAsia="zh-CN" w:bidi="ar-SA"/>
    </w:rPr>
  </w:style>
  <w:style w:type="paragraph" w:styleId="3">
    <w:name w:val="heading 1"/>
    <w:basedOn w:val="4"/>
    <w:next w:val="5"/>
    <w:link w:val="30"/>
    <w:qFormat/>
    <w:uiPriority w:val="0"/>
    <w:pPr>
      <w:spacing w:before="220" w:after="220"/>
      <w:ind w:left="-2160"/>
      <w:jc w:val="left"/>
      <w:outlineLvl w:val="0"/>
    </w:pPr>
    <w:rPr>
      <w:rFonts w:ascii="Arial Black" w:hAnsi="Arial Black"/>
      <w:kern w:val="28"/>
      <w:sz w:val="20"/>
    </w:rPr>
  </w:style>
  <w:style w:type="paragraph" w:styleId="6">
    <w:name w:val="heading 2"/>
    <w:basedOn w:val="4"/>
    <w:next w:val="5"/>
    <w:link w:val="31"/>
    <w:qFormat/>
    <w:uiPriority w:val="0"/>
    <w:pPr>
      <w:spacing w:after="220"/>
      <w:jc w:val="left"/>
      <w:outlineLvl w:val="1"/>
    </w:pPr>
    <w:rPr>
      <w:rFonts w:ascii="Arial Black" w:hAnsi="Arial Black"/>
      <w:sz w:val="20"/>
    </w:rPr>
  </w:style>
  <w:style w:type="paragraph" w:styleId="7">
    <w:name w:val="heading 3"/>
    <w:basedOn w:val="4"/>
    <w:next w:val="5"/>
    <w:link w:val="32"/>
    <w:qFormat/>
    <w:uiPriority w:val="0"/>
    <w:pPr>
      <w:spacing w:after="220"/>
      <w:jc w:val="left"/>
      <w:outlineLvl w:val="2"/>
    </w:pPr>
    <w:rPr>
      <w:i/>
      <w:spacing w:val="-2"/>
      <w:sz w:val="20"/>
    </w:rPr>
  </w:style>
  <w:style w:type="paragraph" w:styleId="8">
    <w:name w:val="heading 4"/>
    <w:basedOn w:val="4"/>
    <w:next w:val="5"/>
    <w:link w:val="33"/>
    <w:qFormat/>
    <w:uiPriority w:val="0"/>
    <w:pPr>
      <w:jc w:val="left"/>
      <w:outlineLvl w:val="3"/>
    </w:pPr>
    <w:rPr>
      <w:rFonts w:ascii="Arial Black" w:hAnsi="Arial Black"/>
      <w:sz w:val="20"/>
    </w:rPr>
  </w:style>
  <w:style w:type="paragraph" w:styleId="9">
    <w:name w:val="heading 5"/>
    <w:basedOn w:val="4"/>
    <w:next w:val="5"/>
    <w:link w:val="34"/>
    <w:qFormat/>
    <w:uiPriority w:val="0"/>
    <w:pPr>
      <w:spacing w:after="220"/>
      <w:jc w:val="left"/>
      <w:outlineLvl w:val="4"/>
    </w:pPr>
    <w:rPr>
      <w:rFonts w:ascii="Arial Black" w:hAnsi="Arial Black"/>
      <w:sz w:val="16"/>
    </w:rPr>
  </w:style>
  <w:style w:type="paragraph" w:styleId="10">
    <w:name w:val="heading 6"/>
    <w:basedOn w:val="1"/>
    <w:next w:val="1"/>
    <w:link w:val="35"/>
    <w:qFormat/>
    <w:uiPriority w:val="0"/>
    <w:pPr>
      <w:spacing w:before="240" w:after="60"/>
      <w:jc w:val="both"/>
      <w:outlineLvl w:val="5"/>
    </w:pPr>
    <w:rPr>
      <w:i/>
      <w:sz w:val="22"/>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style>
  <w:style w:type="paragraph" w:customStyle="1" w:styleId="4">
    <w:name w:val="Heading Base"/>
    <w:basedOn w:val="5"/>
    <w:next w:val="5"/>
    <w:qFormat/>
    <w:uiPriority w:val="0"/>
    <w:pPr>
      <w:keepNext/>
      <w:keepLines/>
      <w:spacing w:after="0"/>
    </w:pPr>
    <w:rPr>
      <w:spacing w:val="-4"/>
      <w:sz w:val="18"/>
    </w:rPr>
  </w:style>
  <w:style w:type="paragraph" w:styleId="5">
    <w:name w:val="Body Text"/>
    <w:basedOn w:val="1"/>
    <w:link w:val="29"/>
    <w:qFormat/>
    <w:uiPriority w:val="0"/>
    <w:pPr>
      <w:spacing w:after="220" w:line="220" w:lineRule="atLeast"/>
      <w:jc w:val="both"/>
    </w:pPr>
    <w:rPr>
      <w:spacing w:val="-5"/>
    </w:rPr>
  </w:style>
  <w:style w:type="paragraph" w:styleId="11">
    <w:name w:val="Document Map"/>
    <w:basedOn w:val="1"/>
    <w:link w:val="36"/>
    <w:qFormat/>
    <w:uiPriority w:val="0"/>
    <w:pPr>
      <w:shd w:val="clear" w:color="auto" w:fill="000080"/>
    </w:pPr>
  </w:style>
  <w:style w:type="paragraph" w:styleId="12">
    <w:name w:val="annotation text"/>
    <w:basedOn w:val="1"/>
    <w:link w:val="37"/>
    <w:semiHidden/>
    <w:unhideWhenUsed/>
    <w:qFormat/>
    <w:uiPriority w:val="99"/>
  </w:style>
  <w:style w:type="paragraph" w:styleId="13">
    <w:name w:val="Body Text Indent"/>
    <w:basedOn w:val="1"/>
    <w:link w:val="38"/>
    <w:qFormat/>
    <w:uiPriority w:val="0"/>
    <w:pPr>
      <w:ind w:left="720"/>
    </w:pPr>
  </w:style>
  <w:style w:type="paragraph" w:styleId="14">
    <w:name w:val="Plain Text"/>
    <w:basedOn w:val="1"/>
    <w:link w:val="66"/>
    <w:qFormat/>
    <w:uiPriority w:val="99"/>
    <w:pPr>
      <w:widowControl w:val="0"/>
      <w:jc w:val="both"/>
    </w:pPr>
    <w:rPr>
      <w:rFonts w:ascii="宋体" w:hAnsi="Courier New" w:cs="Courier New" w:eastAsiaTheme="minorEastAsia"/>
      <w:kern w:val="2"/>
      <w:sz w:val="21"/>
      <w:szCs w:val="21"/>
    </w:rPr>
  </w:style>
  <w:style w:type="paragraph" w:styleId="15">
    <w:name w:val="Date"/>
    <w:basedOn w:val="5"/>
    <w:next w:val="1"/>
    <w:link w:val="39"/>
    <w:qFormat/>
    <w:uiPriority w:val="0"/>
    <w:pPr>
      <w:keepNext/>
    </w:pPr>
  </w:style>
  <w:style w:type="paragraph" w:styleId="16">
    <w:name w:val="Balloon Text"/>
    <w:basedOn w:val="1"/>
    <w:link w:val="40"/>
    <w:qFormat/>
    <w:uiPriority w:val="0"/>
    <w:rPr>
      <w:sz w:val="18"/>
      <w:szCs w:val="18"/>
    </w:rPr>
  </w:style>
  <w:style w:type="paragraph" w:styleId="17">
    <w:name w:val="footer"/>
    <w:basedOn w:val="18"/>
    <w:link w:val="41"/>
    <w:qFormat/>
    <w:uiPriority w:val="0"/>
    <w:pPr>
      <w:tabs>
        <w:tab w:val="right" w:pos="6840"/>
      </w:tabs>
      <w:spacing w:line="220" w:lineRule="atLeast"/>
      <w:ind w:left="-2160"/>
    </w:pPr>
    <w:rPr>
      <w:b/>
      <w:sz w:val="18"/>
    </w:rPr>
  </w:style>
  <w:style w:type="paragraph" w:customStyle="1" w:styleId="18">
    <w:name w:val="Header Base"/>
    <w:basedOn w:val="1"/>
    <w:qFormat/>
    <w:uiPriority w:val="0"/>
    <w:pPr>
      <w:jc w:val="both"/>
    </w:pPr>
  </w:style>
  <w:style w:type="paragraph" w:styleId="19">
    <w:name w:val="header"/>
    <w:basedOn w:val="18"/>
    <w:link w:val="42"/>
    <w:qFormat/>
    <w:uiPriority w:val="0"/>
    <w:pPr>
      <w:spacing w:line="220" w:lineRule="atLeast"/>
      <w:ind w:left="-2160"/>
    </w:pPr>
  </w:style>
  <w:style w:type="paragraph" w:styleId="20">
    <w:name w:val="footnote text"/>
    <w:basedOn w:val="1"/>
    <w:link w:val="43"/>
    <w:qFormat/>
    <w:uiPriority w:val="0"/>
    <w:pPr>
      <w:snapToGrid w:val="0"/>
    </w:pPr>
    <w:rPr>
      <w:sz w:val="18"/>
      <w:szCs w:val="18"/>
    </w:rPr>
  </w:style>
  <w:style w:type="paragraph" w:styleId="21">
    <w:name w:val="annotation subject"/>
    <w:basedOn w:val="12"/>
    <w:next w:val="12"/>
    <w:link w:val="44"/>
    <w:semiHidden/>
    <w:unhideWhenUsed/>
    <w:qFormat/>
    <w:uiPriority w:val="99"/>
    <w:rPr>
      <w:b/>
      <w:bCs/>
    </w:rPr>
  </w:style>
  <w:style w:type="paragraph" w:styleId="22">
    <w:name w:val="Body Text First Indent 2"/>
    <w:basedOn w:val="13"/>
    <w:link w:val="45"/>
    <w:qFormat/>
    <w:uiPriority w:val="0"/>
    <w:pPr>
      <w:spacing w:after="120"/>
      <w:ind w:left="420" w:leftChars="200" w:firstLine="420" w:firstLineChars="200"/>
    </w:pPr>
    <w:rPr>
      <w:rFonts w:ascii="Times New Roman" w:hAnsi="Times New Roman"/>
      <w:sz w:val="21"/>
      <w:szCs w:val="24"/>
    </w:rPr>
  </w:style>
  <w:style w:type="table" w:styleId="24">
    <w:name w:val="Table Grid"/>
    <w:basedOn w:val="23"/>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qFormat/>
    <w:uiPriority w:val="0"/>
    <w:rPr>
      <w:rFonts w:ascii="Arial" w:hAnsi="Arial"/>
      <w:sz w:val="18"/>
    </w:rPr>
  </w:style>
  <w:style w:type="character" w:styleId="27">
    <w:name w:val="Emphasis"/>
    <w:qFormat/>
    <w:uiPriority w:val="0"/>
    <w:rPr>
      <w:rFonts w:ascii="Arial Black" w:hAnsi="Arial Black"/>
      <w:spacing w:val="-8"/>
      <w:sz w:val="18"/>
    </w:rPr>
  </w:style>
  <w:style w:type="character" w:styleId="28">
    <w:name w:val="footnote reference"/>
    <w:qFormat/>
    <w:uiPriority w:val="0"/>
    <w:rPr>
      <w:vertAlign w:val="superscript"/>
    </w:rPr>
  </w:style>
  <w:style w:type="character" w:customStyle="1" w:styleId="29">
    <w:name w:val="正文文本 Char"/>
    <w:basedOn w:val="25"/>
    <w:link w:val="5"/>
    <w:qFormat/>
    <w:uiPriority w:val="0"/>
    <w:rPr>
      <w:rFonts w:ascii="Arial" w:hAnsi="Arial" w:eastAsia="宋体" w:cs="Times New Roman"/>
      <w:spacing w:val="-5"/>
      <w:kern w:val="0"/>
      <w:sz w:val="20"/>
      <w:szCs w:val="20"/>
    </w:rPr>
  </w:style>
  <w:style w:type="character" w:customStyle="1" w:styleId="30">
    <w:name w:val="标题 1 Char"/>
    <w:basedOn w:val="25"/>
    <w:link w:val="3"/>
    <w:uiPriority w:val="0"/>
    <w:rPr>
      <w:rFonts w:ascii="Arial Black" w:hAnsi="Arial Black" w:eastAsia="宋体" w:cs="Times New Roman"/>
      <w:spacing w:val="-4"/>
      <w:kern w:val="28"/>
      <w:sz w:val="20"/>
      <w:szCs w:val="20"/>
    </w:rPr>
  </w:style>
  <w:style w:type="character" w:customStyle="1" w:styleId="31">
    <w:name w:val="标题 2 Char"/>
    <w:basedOn w:val="25"/>
    <w:link w:val="6"/>
    <w:qFormat/>
    <w:uiPriority w:val="0"/>
    <w:rPr>
      <w:rFonts w:ascii="Arial Black" w:hAnsi="Arial Black" w:eastAsia="宋体" w:cs="Times New Roman"/>
      <w:spacing w:val="-4"/>
      <w:kern w:val="0"/>
      <w:sz w:val="20"/>
      <w:szCs w:val="20"/>
    </w:rPr>
  </w:style>
  <w:style w:type="character" w:customStyle="1" w:styleId="32">
    <w:name w:val="标题 3 Char"/>
    <w:basedOn w:val="25"/>
    <w:link w:val="7"/>
    <w:uiPriority w:val="0"/>
    <w:rPr>
      <w:rFonts w:ascii="Arial" w:hAnsi="Arial" w:eastAsia="宋体" w:cs="Times New Roman"/>
      <w:i/>
      <w:spacing w:val="-2"/>
      <w:kern w:val="0"/>
      <w:sz w:val="20"/>
      <w:szCs w:val="20"/>
    </w:rPr>
  </w:style>
  <w:style w:type="character" w:customStyle="1" w:styleId="33">
    <w:name w:val="标题 4 Char"/>
    <w:basedOn w:val="25"/>
    <w:link w:val="8"/>
    <w:uiPriority w:val="0"/>
    <w:rPr>
      <w:rFonts w:ascii="Arial Black" w:hAnsi="Arial Black" w:eastAsia="宋体" w:cs="Times New Roman"/>
      <w:spacing w:val="-4"/>
      <w:kern w:val="0"/>
      <w:sz w:val="20"/>
      <w:szCs w:val="20"/>
    </w:rPr>
  </w:style>
  <w:style w:type="character" w:customStyle="1" w:styleId="34">
    <w:name w:val="标题 5 Char"/>
    <w:basedOn w:val="25"/>
    <w:link w:val="9"/>
    <w:qFormat/>
    <w:uiPriority w:val="0"/>
    <w:rPr>
      <w:rFonts w:ascii="Arial Black" w:hAnsi="Arial Black" w:eastAsia="宋体" w:cs="Times New Roman"/>
      <w:spacing w:val="-4"/>
      <w:kern w:val="0"/>
      <w:sz w:val="16"/>
      <w:szCs w:val="20"/>
    </w:rPr>
  </w:style>
  <w:style w:type="character" w:customStyle="1" w:styleId="35">
    <w:name w:val="标题 6 Char"/>
    <w:basedOn w:val="25"/>
    <w:link w:val="10"/>
    <w:qFormat/>
    <w:uiPriority w:val="0"/>
    <w:rPr>
      <w:rFonts w:ascii="Arial" w:hAnsi="Arial" w:eastAsia="宋体" w:cs="Times New Roman"/>
      <w:i/>
      <w:kern w:val="0"/>
      <w:sz w:val="22"/>
      <w:szCs w:val="20"/>
    </w:rPr>
  </w:style>
  <w:style w:type="character" w:customStyle="1" w:styleId="36">
    <w:name w:val="文档结构图 Char"/>
    <w:basedOn w:val="25"/>
    <w:link w:val="11"/>
    <w:uiPriority w:val="0"/>
    <w:rPr>
      <w:rFonts w:ascii="Arial" w:hAnsi="Arial" w:eastAsia="宋体" w:cs="Times New Roman"/>
      <w:kern w:val="0"/>
      <w:sz w:val="20"/>
      <w:szCs w:val="20"/>
      <w:shd w:val="clear" w:color="auto" w:fill="000080"/>
    </w:rPr>
  </w:style>
  <w:style w:type="character" w:customStyle="1" w:styleId="37">
    <w:name w:val="批注文字 Char"/>
    <w:basedOn w:val="25"/>
    <w:link w:val="12"/>
    <w:semiHidden/>
    <w:qFormat/>
    <w:uiPriority w:val="99"/>
    <w:rPr>
      <w:rFonts w:ascii="Arial" w:hAnsi="Arial" w:eastAsia="宋体" w:cs="Times New Roman"/>
      <w:kern w:val="0"/>
      <w:sz w:val="20"/>
      <w:szCs w:val="20"/>
    </w:rPr>
  </w:style>
  <w:style w:type="character" w:customStyle="1" w:styleId="38">
    <w:name w:val="正文文本缩进 Char"/>
    <w:basedOn w:val="25"/>
    <w:link w:val="13"/>
    <w:qFormat/>
    <w:uiPriority w:val="0"/>
    <w:rPr>
      <w:rFonts w:ascii="Arial" w:hAnsi="Arial" w:eastAsia="宋体" w:cs="Times New Roman"/>
      <w:kern w:val="0"/>
      <w:sz w:val="20"/>
      <w:szCs w:val="20"/>
    </w:rPr>
  </w:style>
  <w:style w:type="character" w:customStyle="1" w:styleId="39">
    <w:name w:val="日期 Char"/>
    <w:basedOn w:val="25"/>
    <w:link w:val="15"/>
    <w:qFormat/>
    <w:uiPriority w:val="0"/>
    <w:rPr>
      <w:rFonts w:ascii="Arial" w:hAnsi="Arial" w:eastAsia="宋体" w:cs="Times New Roman"/>
      <w:spacing w:val="-5"/>
      <w:kern w:val="0"/>
      <w:sz w:val="20"/>
      <w:szCs w:val="20"/>
    </w:rPr>
  </w:style>
  <w:style w:type="character" w:customStyle="1" w:styleId="40">
    <w:name w:val="批注框文本 Char"/>
    <w:basedOn w:val="25"/>
    <w:link w:val="16"/>
    <w:qFormat/>
    <w:uiPriority w:val="0"/>
    <w:rPr>
      <w:rFonts w:ascii="Arial" w:hAnsi="Arial" w:eastAsia="宋体" w:cs="Times New Roman"/>
      <w:kern w:val="0"/>
      <w:sz w:val="18"/>
      <w:szCs w:val="18"/>
    </w:rPr>
  </w:style>
  <w:style w:type="character" w:customStyle="1" w:styleId="41">
    <w:name w:val="页脚 Char"/>
    <w:basedOn w:val="25"/>
    <w:link w:val="17"/>
    <w:qFormat/>
    <w:uiPriority w:val="0"/>
    <w:rPr>
      <w:rFonts w:ascii="Arial" w:hAnsi="Arial" w:eastAsia="宋体" w:cs="Times New Roman"/>
      <w:b/>
      <w:kern w:val="0"/>
      <w:sz w:val="18"/>
      <w:szCs w:val="20"/>
    </w:rPr>
  </w:style>
  <w:style w:type="character" w:customStyle="1" w:styleId="42">
    <w:name w:val="页眉 Char"/>
    <w:basedOn w:val="25"/>
    <w:link w:val="19"/>
    <w:qFormat/>
    <w:uiPriority w:val="0"/>
    <w:rPr>
      <w:rFonts w:ascii="Arial" w:hAnsi="Arial" w:eastAsia="宋体" w:cs="Times New Roman"/>
      <w:kern w:val="0"/>
      <w:sz w:val="20"/>
      <w:szCs w:val="20"/>
    </w:rPr>
  </w:style>
  <w:style w:type="character" w:customStyle="1" w:styleId="43">
    <w:name w:val="脚注文本 Char"/>
    <w:basedOn w:val="25"/>
    <w:link w:val="20"/>
    <w:qFormat/>
    <w:uiPriority w:val="0"/>
    <w:rPr>
      <w:rFonts w:ascii="Arial" w:hAnsi="Arial" w:eastAsia="宋体" w:cs="Times New Roman"/>
      <w:kern w:val="0"/>
      <w:sz w:val="18"/>
      <w:szCs w:val="18"/>
    </w:rPr>
  </w:style>
  <w:style w:type="character" w:customStyle="1" w:styleId="44">
    <w:name w:val="批注主题 Char"/>
    <w:basedOn w:val="37"/>
    <w:link w:val="21"/>
    <w:semiHidden/>
    <w:qFormat/>
    <w:uiPriority w:val="99"/>
    <w:rPr>
      <w:b/>
      <w:bCs/>
    </w:rPr>
  </w:style>
  <w:style w:type="character" w:customStyle="1" w:styleId="45">
    <w:name w:val="正文首行缩进 2 Char"/>
    <w:basedOn w:val="38"/>
    <w:link w:val="22"/>
    <w:qFormat/>
    <w:uiPriority w:val="0"/>
    <w:rPr>
      <w:rFonts w:ascii="Times New Roman" w:hAnsi="Times New Roman"/>
      <w:szCs w:val="24"/>
    </w:rPr>
  </w:style>
  <w:style w:type="character" w:customStyle="1" w:styleId="46">
    <w:name w:val="Job"/>
    <w:basedOn w:val="25"/>
    <w:qFormat/>
    <w:uiPriority w:val="0"/>
  </w:style>
  <w:style w:type="character" w:customStyle="1" w:styleId="47">
    <w:name w:val="Lead-in Emphasis"/>
    <w:qFormat/>
    <w:uiPriority w:val="0"/>
    <w:rPr>
      <w:rFonts w:ascii="Arial Black" w:hAnsi="Arial Black"/>
      <w:spacing w:val="-6"/>
      <w:sz w:val="18"/>
    </w:rPr>
  </w:style>
  <w:style w:type="paragraph" w:customStyle="1" w:styleId="48">
    <w:name w:val="Personal Info"/>
    <w:basedOn w:val="49"/>
    <w:next w:val="49"/>
    <w:qFormat/>
    <w:uiPriority w:val="0"/>
    <w:pPr>
      <w:numPr>
        <w:numId w:val="0"/>
      </w:numPr>
      <w:spacing w:before="240"/>
      <w:ind w:left="245" w:hanging="245"/>
    </w:pPr>
  </w:style>
  <w:style w:type="paragraph" w:customStyle="1" w:styleId="49">
    <w:name w:val="Achievement"/>
    <w:basedOn w:val="5"/>
    <w:qFormat/>
    <w:uiPriority w:val="0"/>
    <w:pPr>
      <w:numPr>
        <w:ilvl w:val="0"/>
        <w:numId w:val="1"/>
      </w:numPr>
      <w:tabs>
        <w:tab w:val="clear" w:pos="360"/>
      </w:tabs>
      <w:spacing w:after="60"/>
    </w:pPr>
  </w:style>
  <w:style w:type="paragraph" w:customStyle="1" w:styleId="50">
    <w:name w:val="Section Subtitle"/>
    <w:basedOn w:val="51"/>
    <w:next w:val="1"/>
    <w:qFormat/>
    <w:uiPriority w:val="0"/>
    <w:rPr>
      <w:b/>
      <w:spacing w:val="0"/>
    </w:rPr>
  </w:style>
  <w:style w:type="paragraph" w:customStyle="1" w:styleId="51">
    <w:name w:val="Section Title"/>
    <w:basedOn w:val="1"/>
    <w:next w:val="1"/>
    <w:qFormat/>
    <w:uiPriority w:val="0"/>
    <w:pPr>
      <w:spacing w:before="220" w:line="220" w:lineRule="atLeast"/>
    </w:pPr>
    <w:rPr>
      <w:rFonts w:ascii="Arial Black" w:hAnsi="Arial Black"/>
      <w:spacing w:val="-10"/>
    </w:rPr>
  </w:style>
  <w:style w:type="paragraph" w:customStyle="1" w:styleId="52">
    <w:name w:val="Address 1"/>
    <w:basedOn w:val="1"/>
    <w:qFormat/>
    <w:uiPriority w:val="0"/>
    <w:pPr>
      <w:spacing w:line="160" w:lineRule="atLeast"/>
      <w:jc w:val="both"/>
    </w:pPr>
    <w:rPr>
      <w:sz w:val="14"/>
    </w:rPr>
  </w:style>
  <w:style w:type="paragraph" w:customStyle="1" w:styleId="53">
    <w:name w:val="Job Title"/>
    <w:next w:val="49"/>
    <w:qFormat/>
    <w:uiPriority w:val="0"/>
    <w:pPr>
      <w:spacing w:after="60" w:line="220" w:lineRule="atLeast"/>
    </w:pPr>
    <w:rPr>
      <w:rFonts w:ascii="Arial Black" w:hAnsi="Arial Black" w:eastAsia="宋体" w:cs="Times New Roman"/>
      <w:spacing w:val="-10"/>
      <w:kern w:val="0"/>
      <w:sz w:val="20"/>
      <w:szCs w:val="20"/>
      <w:lang w:val="en-US" w:eastAsia="zh-CN" w:bidi="ar-SA"/>
    </w:rPr>
  </w:style>
  <w:style w:type="paragraph" w:customStyle="1" w:styleId="54">
    <w:name w:val="Name"/>
    <w:basedOn w:val="1"/>
    <w:next w:val="1"/>
    <w:qFormat/>
    <w:uiPriority w:val="0"/>
    <w:pPr>
      <w:pBdr>
        <w:bottom w:val="single" w:color="auto" w:sz="6" w:space="4"/>
      </w:pBdr>
      <w:spacing w:after="440" w:line="240" w:lineRule="atLeast"/>
    </w:pPr>
    <w:rPr>
      <w:rFonts w:ascii="Arial Black" w:hAnsi="Arial Black"/>
      <w:spacing w:val="-35"/>
      <w:sz w:val="54"/>
    </w:rPr>
  </w:style>
  <w:style w:type="paragraph" w:customStyle="1" w:styleId="55">
    <w:name w:val="Institution"/>
    <w:basedOn w:val="1"/>
    <w:next w:val="49"/>
    <w:qFormat/>
    <w:uiPriority w:val="0"/>
    <w:pPr>
      <w:tabs>
        <w:tab w:val="left" w:pos="2160"/>
        <w:tab w:val="right" w:pos="6480"/>
      </w:tabs>
      <w:spacing w:before="240" w:after="60" w:line="220" w:lineRule="atLeast"/>
    </w:pPr>
  </w:style>
  <w:style w:type="paragraph" w:customStyle="1" w:styleId="56">
    <w:name w:val="Address 2"/>
    <w:basedOn w:val="1"/>
    <w:qFormat/>
    <w:uiPriority w:val="0"/>
    <w:pPr>
      <w:spacing w:line="160" w:lineRule="atLeast"/>
      <w:jc w:val="both"/>
    </w:pPr>
    <w:rPr>
      <w:sz w:val="14"/>
    </w:rPr>
  </w:style>
  <w:style w:type="paragraph" w:customStyle="1" w:styleId="57">
    <w:name w:val="Company Name"/>
    <w:basedOn w:val="1"/>
    <w:next w:val="1"/>
    <w:qFormat/>
    <w:uiPriority w:val="0"/>
    <w:pPr>
      <w:tabs>
        <w:tab w:val="left" w:pos="2160"/>
        <w:tab w:val="right" w:pos="6480"/>
      </w:tabs>
      <w:spacing w:before="240" w:after="40" w:line="220" w:lineRule="atLeast"/>
    </w:pPr>
  </w:style>
  <w:style w:type="paragraph" w:customStyle="1" w:styleId="58">
    <w:name w:val="City/State"/>
    <w:basedOn w:val="5"/>
    <w:next w:val="5"/>
    <w:qFormat/>
    <w:uiPriority w:val="0"/>
    <w:pPr>
      <w:keepNext/>
    </w:pPr>
  </w:style>
  <w:style w:type="paragraph" w:customStyle="1" w:styleId="59">
    <w:name w:val="No Title"/>
    <w:basedOn w:val="51"/>
    <w:qFormat/>
    <w:uiPriority w:val="0"/>
  </w:style>
  <w:style w:type="paragraph" w:customStyle="1" w:styleId="60">
    <w:name w:val="Company Name One"/>
    <w:basedOn w:val="57"/>
    <w:next w:val="1"/>
    <w:qFormat/>
    <w:uiPriority w:val="0"/>
  </w:style>
  <w:style w:type="paragraph" w:customStyle="1" w:styleId="61">
    <w:name w:val="Document Label"/>
    <w:basedOn w:val="1"/>
    <w:next w:val="1"/>
    <w:qFormat/>
    <w:uiPriority w:val="0"/>
    <w:pPr>
      <w:spacing w:after="220"/>
      <w:jc w:val="both"/>
    </w:pPr>
    <w:rPr>
      <w:spacing w:val="-20"/>
      <w:sz w:val="48"/>
    </w:rPr>
  </w:style>
  <w:style w:type="paragraph" w:customStyle="1" w:styleId="62">
    <w:name w:val="Objective"/>
    <w:basedOn w:val="1"/>
    <w:next w:val="5"/>
    <w:qFormat/>
    <w:uiPriority w:val="0"/>
    <w:pPr>
      <w:spacing w:before="240" w:after="220" w:line="220" w:lineRule="atLeast"/>
    </w:pPr>
  </w:style>
  <w:style w:type="paragraph" w:customStyle="1" w:styleId="63">
    <w:name w:val="Personal Data"/>
    <w:basedOn w:val="5"/>
    <w:qFormat/>
    <w:uiPriority w:val="0"/>
    <w:pPr>
      <w:spacing w:after="120" w:line="240" w:lineRule="exact"/>
      <w:ind w:left="-1080" w:right="1080"/>
    </w:pPr>
    <w:rPr>
      <w:i/>
      <w:spacing w:val="0"/>
      <w:sz w:val="22"/>
    </w:rPr>
  </w:style>
  <w:style w:type="paragraph" w:styleId="64">
    <w:name w:val="List Paragraph"/>
    <w:basedOn w:val="1"/>
    <w:qFormat/>
    <w:uiPriority w:val="34"/>
    <w:pPr>
      <w:widowControl w:val="0"/>
      <w:ind w:firstLine="420" w:firstLineChars="200"/>
      <w:jc w:val="both"/>
    </w:pPr>
    <w:rPr>
      <w:rFonts w:ascii="Calibri" w:hAnsi="Calibri"/>
      <w:kern w:val="2"/>
      <w:sz w:val="21"/>
      <w:szCs w:val="22"/>
    </w:rPr>
  </w:style>
  <w:style w:type="paragraph" w:customStyle="1" w:styleId="65">
    <w:name w:val="_Style 3"/>
    <w:basedOn w:val="1"/>
    <w:qFormat/>
    <w:uiPriority w:val="0"/>
    <w:pPr>
      <w:ind w:firstLine="420" w:firstLineChars="200"/>
    </w:pPr>
  </w:style>
  <w:style w:type="character" w:customStyle="1" w:styleId="66">
    <w:name w:val="纯文本 Char"/>
    <w:basedOn w:val="25"/>
    <w:link w:val="14"/>
    <w:qFormat/>
    <w:uiPriority w:val="99"/>
    <w:rPr>
      <w:rFonts w:ascii="宋体" w:hAnsi="Courier New"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2170</Words>
  <Characters>12369</Characters>
  <Lines>103</Lines>
  <Paragraphs>29</Paragraphs>
  <TotalTime>74</TotalTime>
  <ScaleCrop>false</ScaleCrop>
  <LinksUpToDate>false</LinksUpToDate>
  <CharactersWithSpaces>14510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2024-10-29T08:04:00Z</dcterms:created>
  <dc:creator>胡国成</dc:creator>
  <cp:lastModifiedBy>An apple a day can't</cp:lastModifiedBy>
  <dcterms:modified xsi:type="dcterms:W3CDTF">2024-10-30T01:47:28Z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4F0BEBB2A38A42FC980244231F746D57</vt:lpwstr>
  </property>
</Properties>
</file>